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公文小标宋" w:eastAsia="方正小标宋_GBK" w:cs="方正公文小标宋"/>
          <w:sz w:val="36"/>
          <w:szCs w:val="36"/>
        </w:rPr>
      </w:pPr>
      <w:bookmarkStart w:id="0" w:name="_GoBack"/>
      <w:bookmarkEnd w:id="0"/>
      <w:r>
        <w:rPr>
          <w:rFonts w:hint="eastAsia" w:ascii="方正小标宋_GBK" w:hAnsi="方正公文小标宋" w:eastAsia="方正小标宋_GBK" w:cs="方正公文小标宋"/>
          <w:sz w:val="36"/>
          <w:szCs w:val="36"/>
        </w:rPr>
        <w:t>马克思主义学院思想政治理论课线上资源建设要求</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一、项目概况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为进一步贯彻落实习近平总书记在学校思想政治理论课教师座谈会上的重要讲话精神，深入推进思政课问题式专题化团队教学改革，在找准问题、凝练专题、组建团队的基础上，完成了4门思想政治理论课共6</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专题的课件和教案制作工作。为了争创省级一流课程，推动信息技术与教育教学深度融合，促进优质教育资源应用与共享，全面提高教育教学质量，急需建设思想政治理论课在线开放课程。4门课程具体需求如下：</w:t>
      </w:r>
    </w:p>
    <w:p>
      <w:pPr>
        <w:spacing w:line="520" w:lineRule="exact"/>
        <w:ind w:firstLine="640" w:firstLineChars="200"/>
        <w:rPr>
          <w:rFonts w:hint="eastAsia"/>
          <w:sz w:val="32"/>
          <w:szCs w:val="32"/>
        </w:rPr>
      </w:pPr>
      <w:r>
        <w:rPr>
          <w:rFonts w:hint="eastAsia" w:ascii="仿宋_GB2312" w:hAnsi="仿宋_GB2312" w:eastAsia="仿宋_GB2312" w:cs="仿宋_GB2312"/>
          <w:sz w:val="32"/>
          <w:szCs w:val="32"/>
        </w:rPr>
        <w:t>1、《思想道德与法治》课程，共2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个专题，每个专题至少2个知识点，每个知识点不少于8分钟，预计共4</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个知识点，预计共3</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分钟。</w:t>
      </w:r>
    </w:p>
    <w:p>
      <w:pPr>
        <w:spacing w:line="520" w:lineRule="exact"/>
        <w:ind w:firstLine="640" w:firstLineChars="200"/>
        <w:rPr>
          <w:rFonts w:hint="eastAsia"/>
          <w:sz w:val="32"/>
          <w:szCs w:val="32"/>
        </w:rPr>
      </w:pPr>
      <w:r>
        <w:rPr>
          <w:rFonts w:hint="eastAsia" w:ascii="仿宋_GB2312" w:hAnsi="仿宋_GB2312" w:eastAsia="仿宋_GB2312" w:cs="仿宋_GB2312"/>
          <w:sz w:val="32"/>
          <w:szCs w:val="32"/>
        </w:rPr>
        <w:t>2、《马克思主义基本原理》课程，共1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个专题，每个专题至少3个知识点，预计共</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个知识点，预计共</w:t>
      </w:r>
      <w:r>
        <w:rPr>
          <w:rFonts w:ascii="仿宋_GB2312" w:hAnsi="仿宋_GB2312" w:eastAsia="仿宋_GB2312" w:cs="仿宋_GB2312"/>
          <w:sz w:val="32"/>
          <w:szCs w:val="32"/>
        </w:rPr>
        <w:t>288</w:t>
      </w:r>
      <w:r>
        <w:rPr>
          <w:rFonts w:hint="eastAsia" w:ascii="仿宋_GB2312" w:hAnsi="仿宋_GB2312" w:eastAsia="仿宋_GB2312" w:cs="仿宋_GB2312"/>
          <w:sz w:val="32"/>
          <w:szCs w:val="32"/>
        </w:rPr>
        <w:t>分钟。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3、《中国近现代史纲要》课程，共1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个专题，每个专题至少3个知识点，预计共</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个知识点，预计共</w:t>
      </w:r>
      <w:r>
        <w:rPr>
          <w:rFonts w:ascii="仿宋_GB2312" w:hAnsi="仿宋_GB2312" w:eastAsia="仿宋_GB2312" w:cs="仿宋_GB2312"/>
          <w:sz w:val="32"/>
          <w:szCs w:val="32"/>
        </w:rPr>
        <w:t>360</w:t>
      </w:r>
      <w:r>
        <w:rPr>
          <w:rFonts w:hint="eastAsia" w:ascii="仿宋_GB2312" w:hAnsi="仿宋_GB2312" w:eastAsia="仿宋_GB2312" w:cs="仿宋_GB2312"/>
          <w:sz w:val="32"/>
          <w:szCs w:val="32"/>
        </w:rPr>
        <w:t>分钟。</w:t>
      </w:r>
    </w:p>
    <w:p>
      <w:pPr>
        <w:spacing w:line="520" w:lineRule="exact"/>
        <w:ind w:firstLine="640" w:firstLineChars="200"/>
        <w:rPr>
          <w:sz w:val="32"/>
          <w:szCs w:val="32"/>
        </w:rPr>
      </w:pPr>
      <w:r>
        <w:rPr>
          <w:rFonts w:hint="eastAsia" w:ascii="仿宋_GB2312" w:hAnsi="仿宋_GB2312" w:eastAsia="仿宋_GB2312" w:cs="仿宋_GB2312"/>
          <w:sz w:val="32"/>
          <w:szCs w:val="32"/>
        </w:rPr>
        <w:t>4、《毛泽东思想和中国特色社会主义理论体系概论》课程，共1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个专题，每个专题至少3个知识点，预计共</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个知识点，预计共</w:t>
      </w:r>
      <w:r>
        <w:rPr>
          <w:rFonts w:ascii="仿宋_GB2312" w:hAnsi="仿宋_GB2312" w:eastAsia="仿宋_GB2312" w:cs="仿宋_GB2312"/>
          <w:sz w:val="32"/>
          <w:szCs w:val="32"/>
        </w:rPr>
        <w:t>336</w:t>
      </w:r>
      <w:r>
        <w:rPr>
          <w:rFonts w:hint="eastAsia" w:ascii="仿宋_GB2312" w:hAnsi="仿宋_GB2312" w:eastAsia="仿宋_GB2312" w:cs="仿宋_GB2312"/>
          <w:sz w:val="32"/>
          <w:szCs w:val="32"/>
        </w:rPr>
        <w:t>分钟。</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二、项目要求</w:t>
      </w:r>
    </w:p>
    <w:p>
      <w:pPr>
        <w:tabs>
          <w:tab w:val="left" w:pos="606"/>
        </w:tabs>
        <w:spacing w:line="520" w:lineRule="exact"/>
        <w:ind w:firstLine="200"/>
        <w:jc w:val="left"/>
        <w:rPr>
          <w:rFonts w:ascii="仿宋_GB2312" w:hAnsi="仿宋_GB2312" w:eastAsia="仿宋_GB2312" w:cs="仿宋_GB2312"/>
          <w:sz w:val="32"/>
          <w:szCs w:val="32"/>
        </w:rPr>
      </w:pPr>
      <w:r>
        <w:rPr>
          <w:rFonts w:hint="eastAsia"/>
        </w:rPr>
        <w:t xml:space="preserve"> </w:t>
      </w:r>
      <w:r>
        <w:t xml:space="preserve">   </w:t>
      </w:r>
      <w:r>
        <w:rPr>
          <w:rFonts w:hint="eastAsia" w:ascii="仿宋_GB2312" w:hAnsi="仿宋_GB2312" w:eastAsia="仿宋_GB2312" w:cs="仿宋_GB2312"/>
          <w:sz w:val="32"/>
          <w:szCs w:val="32"/>
        </w:rPr>
        <w:t>总体需求：在线开放课程开发，包括视频拍摄制作、推广片花、后期剪辑、必要的特效字幕、片头等，所建设的课程资源必须符合江西省高校精品在线开放课程指导性建设要求。具体要求如下：</w:t>
      </w: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411"/>
        <w:gridCol w:w="842"/>
        <w:gridCol w:w="107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79" w:type="dxa"/>
            <w:vAlign w:val="center"/>
          </w:tcPr>
          <w:p>
            <w:pPr>
              <w:tabs>
                <w:tab w:val="left" w:pos="606"/>
              </w:tabs>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建设内容</w:t>
            </w:r>
          </w:p>
        </w:tc>
        <w:tc>
          <w:tcPr>
            <w:tcW w:w="3411" w:type="dxa"/>
            <w:vAlign w:val="center"/>
          </w:tcPr>
          <w:p>
            <w:pPr>
              <w:tabs>
                <w:tab w:val="left" w:pos="606"/>
              </w:tabs>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要求</w:t>
            </w:r>
          </w:p>
        </w:tc>
        <w:tc>
          <w:tcPr>
            <w:tcW w:w="842" w:type="dxa"/>
            <w:vAlign w:val="center"/>
          </w:tcPr>
          <w:p>
            <w:pPr>
              <w:tabs>
                <w:tab w:val="left" w:pos="606"/>
              </w:tabs>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格式</w:t>
            </w:r>
          </w:p>
        </w:tc>
        <w:tc>
          <w:tcPr>
            <w:tcW w:w="1078" w:type="dxa"/>
            <w:vAlign w:val="center"/>
          </w:tcPr>
          <w:p>
            <w:pPr>
              <w:tabs>
                <w:tab w:val="left" w:pos="606"/>
              </w:tabs>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数量</w:t>
            </w:r>
          </w:p>
        </w:tc>
        <w:tc>
          <w:tcPr>
            <w:tcW w:w="2835" w:type="dxa"/>
            <w:vAlign w:val="center"/>
          </w:tcPr>
          <w:p>
            <w:pPr>
              <w:tabs>
                <w:tab w:val="left" w:pos="606"/>
              </w:tabs>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0" w:hRule="atLeast"/>
          <w:jc w:val="center"/>
        </w:trPr>
        <w:tc>
          <w:tcPr>
            <w:tcW w:w="1279" w:type="dxa"/>
            <w:vAlign w:val="center"/>
          </w:tcPr>
          <w:p>
            <w:pPr>
              <w:spacing w:line="400" w:lineRule="exact"/>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教学</w:t>
            </w:r>
          </w:p>
          <w:p>
            <w:pPr>
              <w:spacing w:line="400" w:lineRule="exact"/>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微课</w:t>
            </w:r>
          </w:p>
          <w:p>
            <w:pPr>
              <w:spacing w:line="400" w:lineRule="exact"/>
              <w:jc w:val="center"/>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视频</w:t>
            </w:r>
          </w:p>
        </w:tc>
        <w:tc>
          <w:tcPr>
            <w:tcW w:w="3411" w:type="dxa"/>
            <w:vAlign w:val="center"/>
          </w:tcPr>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在专业演播室环境下进行录制。片头：5-10 秒，至少包括：学校名称、单位、课程名称、主讲教师姓名、专业技术职务等信息。单个微视频总时长不少于 8分钟为宜；帧频：25.00fps； 音频流：MP3、8-160kbps、单\立体声；音频事件：MP3、8-160kbps、单\立体声； 压缩：LZMA 或Deflate； 品质：最佳；字幕准确；知识点提取符合教学目标；微课画面为高清像素 1280×720，画面重点突出知识的关键内容及细；节录像设备：摄像机要求是高清数字设备或者高清 DSLR 设备； 录音设备：使用数字无线音频系统或者专业录音有线话筒，保证教师和学生发言的录音质量；后期制作设备：使用相应的数字非线性编辑系统。</w:t>
            </w:r>
          </w:p>
        </w:tc>
        <w:tc>
          <w:tcPr>
            <w:tcW w:w="842" w:type="dxa"/>
            <w:vAlign w:val="center"/>
          </w:tcPr>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M</w:t>
            </w:r>
            <w:r>
              <w:rPr>
                <w:rFonts w:cs="仿宋_GB2312" w:asciiTheme="majorEastAsia" w:hAnsiTheme="majorEastAsia" w:eastAsiaTheme="majorEastAsia"/>
                <w:bCs/>
                <w:sz w:val="24"/>
              </w:rPr>
              <w:t>P4</w:t>
            </w:r>
          </w:p>
        </w:tc>
        <w:tc>
          <w:tcPr>
            <w:tcW w:w="1078" w:type="dxa"/>
            <w:vAlign w:val="center"/>
          </w:tcPr>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每门课不少于</w:t>
            </w:r>
            <w:r>
              <w:rPr>
                <w:rFonts w:cs="仿宋_GB2312" w:asciiTheme="majorEastAsia" w:hAnsiTheme="majorEastAsia" w:eastAsiaTheme="majorEastAsia"/>
                <w:bCs/>
                <w:sz w:val="24"/>
              </w:rPr>
              <w:t>30</w:t>
            </w:r>
            <w:r>
              <w:rPr>
                <w:rFonts w:hint="eastAsia" w:cs="仿宋_GB2312" w:asciiTheme="majorEastAsia" w:hAnsiTheme="majorEastAsia" w:eastAsiaTheme="majorEastAsia"/>
                <w:bCs/>
                <w:sz w:val="24"/>
              </w:rPr>
              <w:t>个，具体根据实际教学，酌情增减。</w:t>
            </w:r>
          </w:p>
        </w:tc>
        <w:tc>
          <w:tcPr>
            <w:tcW w:w="2835" w:type="dxa"/>
            <w:vAlign w:val="center"/>
          </w:tcPr>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教学微课属于课程框架</w:t>
            </w:r>
          </w:p>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体系，每门课程知识点大</w:t>
            </w:r>
          </w:p>
          <w:p>
            <w:pPr>
              <w:spacing w:line="400" w:lineRule="exact"/>
              <w:jc w:val="left"/>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 xml:space="preserve">概在 </w:t>
            </w:r>
            <w:r>
              <w:rPr>
                <w:rFonts w:cs="仿宋_GB2312" w:asciiTheme="majorEastAsia" w:hAnsiTheme="majorEastAsia" w:eastAsiaTheme="majorEastAsia"/>
                <w:bCs/>
                <w:sz w:val="24"/>
              </w:rPr>
              <w:t>30</w:t>
            </w:r>
            <w:r>
              <w:rPr>
                <w:rFonts w:hint="eastAsia" w:cs="仿宋_GB2312" w:asciiTheme="majorEastAsia" w:hAnsiTheme="majorEastAsia" w:eastAsiaTheme="majorEastAsia"/>
                <w:bCs/>
                <w:sz w:val="24"/>
              </w:rPr>
              <w:t>-</w:t>
            </w:r>
            <w:r>
              <w:rPr>
                <w:rFonts w:cs="仿宋_GB2312" w:asciiTheme="majorEastAsia" w:hAnsiTheme="majorEastAsia" w:eastAsiaTheme="majorEastAsia"/>
                <w:bCs/>
                <w:sz w:val="24"/>
              </w:rPr>
              <w:t>50</w:t>
            </w:r>
            <w:r>
              <w:rPr>
                <w:rFonts w:hint="eastAsia" w:cs="仿宋_GB2312" w:asciiTheme="majorEastAsia" w:hAnsiTheme="majorEastAsia" w:eastAsiaTheme="majorEastAsia"/>
                <w:bCs/>
                <w:sz w:val="24"/>
              </w:rPr>
              <w:t xml:space="preserve"> 之间。也属于一门课程重点展现方式，单个总时长不少于 8 分钟，学习者同时以微课罗列结构做为学习主线。须同时要辅助学院做好的视频上传至教学平台。</w:t>
            </w:r>
          </w:p>
          <w:p>
            <w:pPr>
              <w:spacing w:line="400" w:lineRule="exact"/>
              <w:jc w:val="left"/>
              <w:rPr>
                <w:rFonts w:cs="仿宋_GB2312" w:asciiTheme="majorEastAsia" w:hAnsiTheme="majorEastAsia" w:eastAsiaTheme="majorEastAsia"/>
                <w:bCs/>
                <w:sz w:val="24"/>
              </w:rPr>
            </w:pPr>
          </w:p>
        </w:tc>
      </w:tr>
    </w:tbl>
    <w:p>
      <w:pPr>
        <w:tabs>
          <w:tab w:val="left" w:pos="606"/>
        </w:tabs>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yYTIxZDJiOWVhYTI3ODAwNWRiNmUzODU3NmVmNjUifQ=="/>
  </w:docVars>
  <w:rsids>
    <w:rsidRoot w:val="78504A3B"/>
    <w:rsid w:val="00075175"/>
    <w:rsid w:val="00095F4A"/>
    <w:rsid w:val="0013317B"/>
    <w:rsid w:val="001F2FB4"/>
    <w:rsid w:val="003C09C5"/>
    <w:rsid w:val="004149B1"/>
    <w:rsid w:val="00516D3D"/>
    <w:rsid w:val="005E1C47"/>
    <w:rsid w:val="006059ED"/>
    <w:rsid w:val="00687E9A"/>
    <w:rsid w:val="007357B6"/>
    <w:rsid w:val="007A4B90"/>
    <w:rsid w:val="007D0969"/>
    <w:rsid w:val="00863A20"/>
    <w:rsid w:val="00865626"/>
    <w:rsid w:val="008C0754"/>
    <w:rsid w:val="00930E70"/>
    <w:rsid w:val="009908DF"/>
    <w:rsid w:val="00A249C7"/>
    <w:rsid w:val="00C560A0"/>
    <w:rsid w:val="00FB056B"/>
    <w:rsid w:val="1D0133F4"/>
    <w:rsid w:val="648554D8"/>
    <w:rsid w:val="7850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936</Words>
  <Characters>1007</Characters>
  <Lines>7</Lines>
  <Paragraphs>2</Paragraphs>
  <TotalTime>1</TotalTime>
  <ScaleCrop>false</ScaleCrop>
  <LinksUpToDate>false</LinksUpToDate>
  <CharactersWithSpaces>1025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2022-06-29T02:50:00Z</dcterms:created>
  <dc:creator>简单</dc:creator>
  <cp:lastModifiedBy>Administrator</cp:lastModifiedBy>
  <dcterms:modified xsi:type="dcterms:W3CDTF">2022-06-29T07:38:06Z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E18899A6B8F543579F0FBE0D3E93E743</vt:lpwstr>
  </property>
</Properties>
</file>