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关于制订 2021 版本科人才培养方案的指导意见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  <w:lang w:val="en-US" w:eastAsia="zh-CN" w:bidi="ar-SA"/>
        </w:rPr>
        <w:t>为贯彻落实立德树人根本任务、全面深化教育教学改革、加强人才培养能力建设、提高人才培养质量，学校决定在现有本科人才培养方案的基础上，启动南昌工学院2021版本科人才培养方案（以下简称方案）制订工作。现就本次制订工作提出以下指导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</w:pPr>
      <w:bookmarkStart w:id="0" w:name="一、指导思想"/>
      <w:bookmarkEnd w:id="0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以习近平新时代中国特色社会主义思想为指导，全面贯彻党的教育方针，牢记为党育人、为国育才使命，准确把握高等教育教学基本规律和人才成长规律，坚持“育人为本、追求卓越”的办学理念，坚持“学科引领、本科立校、文化兴校、人才强校、特色发展”的办学思路，以新工科新文科建设为引领，以一流本科建设为抓手，打造“以工为主、多学科协调，以职业技术为核心，以产教融合、校企合作为路径，以装备制造业为重点，培养工程实践与创新能力强、具有时代工匠精神的高素质应用型人才。”的人才培养特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</w:pPr>
      <w:bookmarkStart w:id="1" w:name="二、基本原则"/>
      <w:bookmarkEnd w:id="1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在现有本科人才培养方案的基础上，全面审视各专业课程设置对培养目标和毕业要求的支撑度、各专业人才培养方案与地方经济社会发展和学生发展需求的契合度，重构教学体系、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实施大类培养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、创新培养模式、改革教育评价。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bookmarkStart w:id="2" w:name="（一）坚持三全育人、重构教学体系"/>
      <w:bookmarkEnd w:id="2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（一）重构教学体系，落实三全育人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1）落实中共中央宣传部、教育部印发的《新时代学校思想政治理论课改革创新实施方案》精神，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科学设计马克思主义、中国特色社会主义理论等思政课程体系，创新教育教学方法，巩固和发展思政课程教学成效。把思想政治教育贯穿于教学全过程，把思想价值引领贯穿于教学各环节，形成全员全程全方位育人大格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2）按照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教育部印发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《高等学校课程思政建设指导纲要》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要求，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全面开展课程思政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建设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，深入挖掘课程思政元素，系统设计课程思政教学体系，使各类课程与思政课程同向同行，使所有课程所有教师都承担育人责任，把立德树人根本任务，融入思想道德教育、文化知识教育和社会实践教育各个环节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bookmarkStart w:id="3" w:name="2）创建“德育为先、智育为本、体育为基、美育为翼、劳育为要”的“五育并举”教育教"/>
      <w:bookmarkEnd w:id="3"/>
      <w:bookmarkStart w:id="4" w:name="2）创建“德育为先、智育为本、体育为基、美育为翼、劳育为要”的“五育并举”教育教"/>
      <w:bookmarkEnd w:id="4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3）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创建“德育为先、智育为本、体育为基、美育为翼、劳育为要”的“五育并举”教育教学体系，落实教育部的最新要求，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精心选好项目抓手、合理设计教学内容、按要求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开设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规定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课程。坚持“第一课堂+第二课堂”“教师+学生”“校内+校外”“学校+家庭”四位一体，努力把学生培养成具有正确世界观、人生观和价值观、具有坚实专业技能、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具有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较好身体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素质和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艺术素养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、具有正确劳动价值观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的高素质应用型人才。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bookmarkStart w:id="5" w:name="（二）坚持市场面向、组建专业集群"/>
      <w:bookmarkEnd w:id="5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（二）实施大类培养，拓宽培养口径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4）按照“对接产业相同、职业岗位相关、技术领域相近”的组群逻辑，兼顾学科分类，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组建专业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大类（专业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群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。对照《普通高等学校本科专业类教学质量国家标准》，坚持“规定动作不走样，自选动作有创新”的建设标准；对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照《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工程教育专业认证标准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》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，贯彻“学生中心、产出导向、持续改进”的教育理念，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专业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大类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科学制定培养目标、合理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设计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课程体系、统筹规划教学组织。通过设置新专业、融入新内容、交叉融合再出新，大力推进新工科新文科建设。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5）实施大类培养，构建由“通识教育课程、基础教育课程、专业教育课程、素质教育课程”四部分组成的课程体系。全面打通通识教育课程，按专业大类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打通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基础教育课程，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夯实学科基础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拓宽专业领域，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突出以工为主特色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。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专业教育课程要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设置多个专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门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化方向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实现多种人才出口，尊重学生个性化发展，增强就业竞争力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凸显专业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大类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培养特色。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素质教育课程依托第二课堂执行。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bookmarkStart w:id="6" w:name="（三）坚持就业导向、创新培养模式"/>
      <w:bookmarkEnd w:id="6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（三）创新培养模式，增强就业能力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bookmarkStart w:id="7" w:name="5）遵循教育规律和人才成长规律，以学生为中心，以就业为导向，创新人才培养模式。全"/>
      <w:bookmarkEnd w:id="7"/>
      <w:bookmarkStart w:id="8" w:name="5）遵循教育规律和人才成长规律，以学生为中心，以就业为导向，创新人才培养模式。全"/>
      <w:bookmarkEnd w:id="8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6）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遵循教育规律和人才成长规律，以学生为中心，以就业为导向，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探索产教融合、国际合作等人才培养路径，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创新培养模式。全面实施“拔尖创新、卓越工程师、1+X”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种人才培养计划，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实现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大类培养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分流后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的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专门化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培养，营造“人人皆可成才、人人尽展其才”的教育教学环境。加大实践教学占比，优化实践教学体系，强化实践教学环节，推进实践教学内容和方法改革。加强综合性课程设计、设计性实验、虚拟实验、创新创业训练项目的建设，积极开展社会调查、现场实践、创新创业、学科竞赛等实践教学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bookmarkStart w:id="9" w:name="6）加强创新创业教育，强化专业课程在创新创业教育中的主导作用，促进专业教育与创新"/>
      <w:bookmarkEnd w:id="9"/>
      <w:bookmarkStart w:id="10" w:name="6）加强创新创业教育，强化专业课程在创新创业教育中的主导作用，促进专业教育与创新"/>
      <w:bookmarkEnd w:id="10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7）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加强创新创业教育，强化专业课程在创新创业教育中的主导作用，促进专业教育与创新创业教育有机融合，挖掘和充实专业课程的创新创业教育资源，推进专创融合课程建设。开设跨学科、跨专业的交叉课程，开发研究方法、学科前沿、创业基础、就业创业指导等方面的课程，建设依次递进、有机衔接、科学合理的创新创业教育课程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群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bookmarkStart w:id="11" w:name="（四）坚持全面发展、改革教育评价"/>
      <w:bookmarkEnd w:id="11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（四）改革教育评价，促进全面发展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</w:pPr>
      <w:bookmarkStart w:id="12" w:name="7）落实《深化新时代教育评价改革总体方案》精神，开展纵向学习的全过程评价、横向发"/>
      <w:bookmarkEnd w:id="12"/>
      <w:bookmarkStart w:id="13" w:name="7）落实《深化新时代教育评价改革总体方案》精神，开展纵向学习的全过程评价、横向发"/>
      <w:bookmarkEnd w:id="13"/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8）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落实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中共中央、国务院印发的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《深化新时代教育评价改革总体方案》精神，开展纵向学习全过程评价、横向发展全要素评价。按年级设置学习目标，确定必须获得的学分标准，掌握学生各阶段学习情况。根据共青团中央、教育部印发的《关于在高校实施共青团“第二课堂成绩单”制度的意见》文件精神，全面实施“第二课堂成绩单”制度，客观记录、认证学生参与“第二课堂”创新实践活动的经历和成果。建立“第一课堂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学分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+第二课堂</w:t>
      </w:r>
      <w:r>
        <w:rPr>
          <w:rFonts w:hint="eastAsia" w:cs="微软雅黑"/>
          <w:kern w:val="2"/>
          <w:sz w:val="28"/>
          <w:szCs w:val="28"/>
          <w:lang w:val="en-US" w:eastAsia="zh-CN" w:bidi="ar-SA"/>
        </w:rPr>
        <w:t>学分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”的毕业资格双重审查机制，确定双达标的毕业硬性标准，促成学生知识、能力、素质全面发展，助力德智体美劳全面发展的人才培养。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</w:pPr>
      <w:bookmarkStart w:id="14" w:name="三、基本内容"/>
      <w:bookmarkEnd w:id="14"/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bidi="ar-SA"/>
        </w:rPr>
        <w:t>三、基本内容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Chars="0"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（一）</w:t>
      </w:r>
      <w:r>
        <w:rPr>
          <w:rFonts w:hint="eastAsia" w:ascii="微软雅黑" w:hAnsi="微软雅黑" w:eastAsia="微软雅黑" w:cs="微软雅黑"/>
          <w:sz w:val="28"/>
          <w:szCs w:val="28"/>
        </w:rPr>
        <w:t>基本框架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44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8"/>
          <w:szCs w:val="28"/>
          <w:lang w:val="en-US" w:eastAsia="zh-CN"/>
        </w:rPr>
        <w:t>1）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8"/>
          <w:szCs w:val="28"/>
        </w:rPr>
        <w:t>专业基本信息描述：包括专业名称、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lang w:eastAsia="zh-CN"/>
        </w:rPr>
        <w:t>主干学科、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lang w:val="en-US" w:eastAsia="zh-CN"/>
        </w:rPr>
        <w:t>专业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8"/>
          <w:szCs w:val="28"/>
          <w:lang w:eastAsia="zh-CN"/>
        </w:rPr>
        <w:t>代码、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8"/>
          <w:szCs w:val="28"/>
        </w:rPr>
        <w:t>学制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lang w:eastAsia="zh-CN"/>
        </w:rPr>
        <w:t>授予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</w:rPr>
        <w:t>学位等内容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pacing w:val="-4"/>
          <w:sz w:val="28"/>
          <w:szCs w:val="28"/>
        </w:rPr>
        <w:t>以教育部颁布的</w:t>
      </w:r>
      <w:r>
        <w:rPr>
          <w:rFonts w:hint="eastAsia" w:ascii="微软雅黑" w:hAnsi="微软雅黑" w:eastAsia="微软雅黑" w:cs="微软雅黑"/>
          <w:sz w:val="28"/>
          <w:szCs w:val="28"/>
        </w:rPr>
        <w:t>《普通高等学校本科专业目录和专业介绍》中的表述为准。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5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  <w:t>2）毕业条件：学生毕业必需获得的最低学分和第二课堂</w:t>
      </w:r>
      <w:r>
        <w:rPr>
          <w:rFonts w:hint="eastAsia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  <w:t>学分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  <w:t>要求等内容。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54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3）培养目标：培养目标是学生毕业后五年左右，参与社会实践，在专业领域经过实践和锻炼，预期能够达到的职业和专业成就。各专业要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</w:rPr>
        <w:t>按照《普通高等学校本科专业类教学质量国家标准》的要求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遵循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</w:rPr>
        <w:t>学校人才培养总体目标，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eastAsia="zh-CN"/>
        </w:rPr>
        <w:t>充分考虑专业实际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和社会需求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精心凝练和科学制定能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</w:rPr>
        <w:t>体现专业人才培养特色与优势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且可衡量的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eastAsia="zh-CN"/>
        </w:rPr>
        <w:t>人才培养目标。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48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4）毕业要求：要围绕知识、能力和素质三个方面，结合专业人才培养目标和特色进行科学表述，要能有效支撑培养目标的达成。工科专业的毕业要求应能覆盖《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3"/>
          <w:sz w:val="28"/>
          <w:szCs w:val="28"/>
          <w:lang w:val="en-US" w:eastAsia="zh-CN"/>
        </w:rPr>
        <w:t>中国工程教育专业认证通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用标准》中的12条毕业要求内容，其它学科参照执行。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firstLine="5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-10"/>
          <w:sz w:val="28"/>
          <w:szCs w:val="28"/>
          <w:lang w:val="en-US" w:eastAsia="zh-CN"/>
        </w:rPr>
        <w:t>5）专业核心课程和专业特色课程：专业核心课程为本专业以基础理论为内容的课程，专业特色课程为突出本专业特色的课程。专业核心课程与专业特色课程以教育部颁布的《普通高等学校本科专业目录和专业介绍》中的表述为基础，根据专业特点提出具体课程名单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20" w:firstLineChars="200"/>
        <w:jc w:val="both"/>
        <w:textAlignment w:val="auto"/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0"/>
          <w:sz w:val="28"/>
          <w:szCs w:val="28"/>
          <w:lang w:val="en-US" w:eastAsia="zh-CN"/>
        </w:rPr>
        <w:t>6）附表</w:t>
      </w:r>
      <w:r>
        <w:rPr>
          <w:rFonts w:hint="eastAsia" w:ascii="微软雅黑" w:hAnsi="微软雅黑" w:eastAsia="微软雅黑" w:cs="微软雅黑"/>
          <w:b w:val="0"/>
          <w:bCs w:val="0"/>
          <w:spacing w:val="-3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表一教学时间安排表，表二学分</w:t>
      </w:r>
      <w:r>
        <w:rPr>
          <w:rFonts w:hint="eastAsia" w:cs="微软雅黑"/>
          <w:spacing w:val="-6"/>
          <w:sz w:val="28"/>
          <w:szCs w:val="28"/>
          <w:lang w:val="en-US" w:eastAsia="zh-CN"/>
        </w:rPr>
        <w:t>学时</w:t>
      </w:r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统计表，表</w:t>
      </w:r>
      <w:r>
        <w:rPr>
          <w:rFonts w:hint="eastAsia" w:cs="微软雅黑"/>
          <w:spacing w:val="-6"/>
          <w:sz w:val="28"/>
          <w:szCs w:val="28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课程设置及教学进程表，表</w:t>
      </w:r>
      <w:r>
        <w:rPr>
          <w:rFonts w:hint="eastAsia" w:cs="微软雅黑"/>
          <w:spacing w:val="-6"/>
          <w:sz w:val="28"/>
          <w:szCs w:val="2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培养目标达成矩阵，表</w:t>
      </w:r>
      <w:r>
        <w:rPr>
          <w:rFonts w:hint="eastAsia" w:cs="微软雅黑"/>
          <w:spacing w:val="-6"/>
          <w:sz w:val="28"/>
          <w:szCs w:val="28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spacing w:val="-6"/>
          <w:sz w:val="28"/>
          <w:szCs w:val="28"/>
          <w:lang w:val="en-US" w:eastAsia="zh-CN"/>
        </w:rPr>
        <w:t>毕业要求达成矩阵</w:t>
      </w:r>
      <w:r>
        <w:rPr>
          <w:rFonts w:hint="eastAsia" w:cs="微软雅黑"/>
          <w:spacing w:val="-6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Chars="0"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（二）学分要求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1）总学分原则上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不超过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学分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，另外第二课堂总学分为30学分。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课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</w:rPr>
        <w:t>程学分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的设置以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</w:rPr>
        <w:t>课程重要性和学习成本为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原则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  <w:lang w:eastAsia="zh-CN"/>
        </w:rPr>
        <w:t>，最小单位为</w:t>
      </w:r>
      <w:r>
        <w:rPr>
          <w:rFonts w:hint="eastAsia" w:ascii="微软雅黑" w:hAnsi="微软雅黑" w:eastAsia="微软雅黑" w:cs="微软雅黑"/>
          <w:spacing w:val="0"/>
          <w:sz w:val="28"/>
          <w:szCs w:val="28"/>
          <w:lang w:val="en-US" w:eastAsia="zh-CN"/>
        </w:rPr>
        <w:t>0.5学分。理论课程（含实验）每16学时计1学分；单独设置的实验课程每32学时计1学分；体育课每32学时计1学分；按周安排的集中性实践教学环节，每周计24学时计1学分；毕业实习每4周计1学分；毕业设计（论文）每2周计1学分；其它特殊要求按相关文件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Chars="0"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（三）</w:t>
      </w:r>
      <w:r>
        <w:rPr>
          <w:rFonts w:hint="eastAsia" w:ascii="微软雅黑" w:hAnsi="微软雅黑" w:eastAsia="微软雅黑" w:cs="微软雅黑"/>
          <w:sz w:val="28"/>
          <w:szCs w:val="28"/>
        </w:rPr>
        <w:t>课程体系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课程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</w:rPr>
        <w:t>体系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由通识教育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课程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、</w:t>
      </w:r>
      <w:r>
        <w:rPr>
          <w:rFonts w:hint="eastAsia" w:cs="微软雅黑"/>
          <w:color w:val="auto"/>
          <w:sz w:val="28"/>
          <w:szCs w:val="28"/>
          <w:lang w:val="en-US" w:eastAsia="zh-CN"/>
        </w:rPr>
        <w:t>基础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教育课程、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专业教育课程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和素质教育课程四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部分组成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，</w:t>
      </w:r>
      <w:r>
        <w:rPr>
          <w:rFonts w:hint="eastAsia" w:cs="微软雅黑"/>
          <w:b w:val="0"/>
          <w:bCs w:val="0"/>
          <w:color w:val="auto"/>
          <w:sz w:val="28"/>
          <w:szCs w:val="28"/>
          <w:lang w:val="en-US" w:eastAsia="zh-CN"/>
        </w:rPr>
        <w:t>课程性质分为必修和选修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2）通识教育课程分为必修和选修，必修课程所有专业全打通，由教务处牵头组织相关二级学院和职能部门统一安排，主要为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val="en-US" w:eastAsia="zh-CN"/>
        </w:rPr>
        <w:t>军事、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eastAsia="zh-CN"/>
        </w:rPr>
        <w:t>思政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eastAsia="zh-CN"/>
        </w:rPr>
        <w:t>、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val="en-US" w:eastAsia="zh-CN"/>
        </w:rPr>
        <w:t>英语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eastAsia="zh-CN"/>
        </w:rPr>
        <w:t>、心理教育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eastAsia="zh-CN"/>
        </w:rPr>
        <w:t>、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val="en-US" w:eastAsia="zh-CN"/>
        </w:rPr>
        <w:t>就业创业指导和体美劳教育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val="en-US" w:eastAsia="zh-CN"/>
        </w:rPr>
        <w:t>等</w:t>
      </w:r>
      <w:r>
        <w:rPr>
          <w:rFonts w:hint="eastAsia" w:cs="微软雅黑"/>
          <w:b w:val="0"/>
          <w:bCs w:val="0"/>
          <w:sz w:val="28"/>
          <w:szCs w:val="28"/>
          <w:vertAlign w:val="baseline"/>
          <w:lang w:val="en-US" w:eastAsia="zh-CN"/>
        </w:rPr>
        <w:t>国家和教育部规定的必修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val="en-US" w:eastAsia="zh-CN"/>
        </w:rPr>
        <w:t>课程；选修课程主要分为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eastAsia="zh-CN"/>
        </w:rPr>
        <w:t>人文社科类、艺术体育类、自然科学类、经济管理类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vertAlign w:val="baseline"/>
          <w:lang w:val="en-US" w:eastAsia="zh-CN"/>
        </w:rPr>
        <w:t>等，由学生自主选择。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）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基础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教育课程按专业大类（专业群）打通，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分为必修和选修，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由专业大类所属二级学院安排。课程安排兼顾专业大类（专业群）内各专业的学科基础和专业基础，适当安排跨专业、跨学科的交叉融合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选修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课程，突出大类培养特色。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）专业教育课程分为必修和选修，由专业所属二级学院安排。课程安排要体现“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bidi="ar-SA"/>
        </w:rPr>
        <w:t>拔尖创新、卓越工程师、1+X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”人才培养模式的创新，突出分类培养特色。选修课程可以是模块化的课程群，分别指向不同的技术领域或就业方向。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560" w:firstLineChars="200"/>
        <w:jc w:val="both"/>
        <w:textAlignment w:val="auto"/>
        <w:rPr>
          <w:rFonts w:hint="default" w:ascii="微软雅黑" w:hAnsi="微软雅黑" w:eastAsia="微软雅黑" w:cs="微软雅黑"/>
          <w:color w:val="C00000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5）素质教育课程依托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第二课堂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开展，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培养要求为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30学分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，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其中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必修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12学分，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选修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18学分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560" w:firstLineChars="20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）课程总学时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（不含素质拓展课程）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应控制在3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00学时左右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实践教学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参照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《普通高等学校本科专业类教学质量国家标准》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，理工类学时占比不低于40%，其他不低于35%。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）课程代码是课程唯一识别码，是区分课程名称、性质、内容等属性的唯一标识，课程代码严格按照《南昌工学院人才培养方案课程代码编办法》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（2021版）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执行。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）课程考核方式采用“考查”和“考试”两种之一进行标识，应根据课程性质确定考核方式，每学期应安排一定数量的考试课程。集中性实践教学环节采用“XW”标识，如标识为“2W”，表示该课程按周集中安排，总周数为2周。</w:t>
      </w:r>
      <w:r>
        <w:rPr>
          <w:rFonts w:hint="eastAsia" w:cs="微软雅黑"/>
          <w:color w:val="auto"/>
          <w:spacing w:val="0"/>
          <w:sz w:val="28"/>
          <w:szCs w:val="28"/>
          <w:lang w:val="en-US" w:eastAsia="zh-CN"/>
        </w:rPr>
        <w:t>所有课程需标识开课单位，课程管理与建设工作归属开课单位。</w:t>
      </w: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所有课程名称要求按照高校通行的命名规范列出中文和英文名称。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0"/>
          <w:sz w:val="28"/>
          <w:szCs w:val="28"/>
          <w:lang w:val="en-US" w:eastAsia="zh-CN"/>
        </w:rPr>
        <w:t>（四）组织实施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1）调研论证。教学单位牵头，以教研室为单位深入行业企业调研，按专业分析梳理社会需求，与企业专家共同研讨，制定专业人才培养方案。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2）学校审定。教务处负责人组织和协调工作，及时分析、研究和解决制定工作中出现的问题。各专业人才培养方案经学校审定后方可实施。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3）严格执行。人才培养方案经学校审定后，要严格执行，不得随意变更，确实需要优化调整的，开课单位提交书面报告经学校批准后方可变更。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0"/>
          <w:sz w:val="28"/>
          <w:szCs w:val="28"/>
          <w:lang w:val="en-US" w:eastAsia="zh-CN"/>
        </w:rPr>
        <w:t>4）优化完善。各教学单位应定期召开专业人才培养方案专题研讨会，根据地方经济社会发展、行业企业及职业岗位实际需求及时优化完善人才培养方案。</w:t>
      </w:r>
      <w:bookmarkStart w:id="15" w:name="_GoBack"/>
      <w:bookmarkEnd w:id="15"/>
    </w:p>
    <w:sectPr>
      <w:footerReference r:id="rId5" w:type="default"/>
      <w:pgSz w:w="11910" w:h="16840"/>
      <w:pgMar w:top="1440" w:right="1803" w:bottom="1440" w:left="1803" w:header="0" w:footer="9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 w:right="0"/>
      <w:jc w:val="left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9858375</wp:posOffset>
              </wp:positionV>
              <wp:extent cx="71628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40" w:right="0" w:firstLine="0"/>
                            <w:jc w:val="left"/>
                            <w:rPr>
                              <w:rFonts w:ascii="仿宋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仿宋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4pt;margin-top:776.25pt;height:17.7pt;width:56.4pt;mso-position-horizontal-relative:page;mso-position-vertical-relative:page;z-index:-251657216;mso-width-relative:page;mso-height-relative:page;" filled="f" stroked="f" coordsize="21600,21600" o:gfxdata="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jdFoLNsAAAANAQAADwAAAAAAAAABACAAAAAiAAAAZHJzL2Rvd25yZXYueG1sUEsB&#10;AhQAFAAAAAgAh07iQMoWNkm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40" w:right="0" w:firstLine="0"/>
                      <w:jc w:val="left"/>
                      <w:rPr>
                        <w:rFonts w:ascii="仿宋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仿宋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5CDB"/>
    <w:rsid w:val="066B5627"/>
    <w:rsid w:val="0A251FF4"/>
    <w:rsid w:val="0A3517BD"/>
    <w:rsid w:val="0C85076D"/>
    <w:rsid w:val="0DDF00BE"/>
    <w:rsid w:val="0E5A7D02"/>
    <w:rsid w:val="16D466B0"/>
    <w:rsid w:val="1BEC7C87"/>
    <w:rsid w:val="1E4253D6"/>
    <w:rsid w:val="1EEF2C2A"/>
    <w:rsid w:val="1F5A3E9B"/>
    <w:rsid w:val="235A1E8F"/>
    <w:rsid w:val="2C523F3A"/>
    <w:rsid w:val="2D4F0F4C"/>
    <w:rsid w:val="2E8B2975"/>
    <w:rsid w:val="2F920DE5"/>
    <w:rsid w:val="31004646"/>
    <w:rsid w:val="352176D1"/>
    <w:rsid w:val="38BE0DA5"/>
    <w:rsid w:val="3D1F46BE"/>
    <w:rsid w:val="3FDA3C70"/>
    <w:rsid w:val="45EB640D"/>
    <w:rsid w:val="5427758B"/>
    <w:rsid w:val="54346496"/>
    <w:rsid w:val="571F789E"/>
    <w:rsid w:val="5B1C00F3"/>
    <w:rsid w:val="5D690A99"/>
    <w:rsid w:val="620107E7"/>
    <w:rsid w:val="63001110"/>
    <w:rsid w:val="67C84680"/>
    <w:rsid w:val="69113673"/>
    <w:rsid w:val="69554829"/>
    <w:rsid w:val="6C514C52"/>
    <w:rsid w:val="7842072E"/>
    <w:rsid w:val="796B5BEB"/>
    <w:rsid w:val="7F657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72" w:lineRule="exact"/>
      <w:ind w:left="679"/>
      <w:outlineLvl w:val="1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ind w:left="120" w:right="116"/>
      <w:jc w:val="both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3"/>
      <w:ind w:left="120" w:right="116" w:firstLine="559"/>
      <w:jc w:val="both"/>
    </w:pPr>
    <w:rPr>
      <w:rFonts w:ascii="微软雅黑" w:hAnsi="微软雅黑" w:eastAsia="微软雅黑" w:cs="微软雅黑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2021-05-06T00:44:00Z</dcterms:created>
  <dc:creator>PC</dc:creator>
  <cp:lastModifiedBy>公子南</cp:lastModifiedBy>
  <cp:lastPrinted>2021-06-22T01:40:00Z</cp:lastPrinted>
  <dcterms:modified xsi:type="dcterms:W3CDTF">2021-06-23T14:48:33Z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CC827D39F74542B39486A37046B8615B</vt:lpwstr>
  </property>
</Properties>
</file>