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85862C">
      <w:pPr>
        <w:pStyle w:val="8"/>
        <w:spacing w:line="240" w:lineRule="atLeast"/>
        <w:rPr>
          <w:rFonts w:hint="eastAsia" w:ascii="仿宋" w:hAnsi="仿宋" w:eastAsia="仿宋"/>
          <w:bCs w:val="0"/>
          <w:sz w:val="30"/>
          <w:szCs w:val="30"/>
        </w:rPr>
      </w:pPr>
      <w:r>
        <w:rPr>
          <w:rFonts w:hint="eastAsia" w:ascii="仿宋" w:hAnsi="仿宋" w:eastAsia="仿宋"/>
          <w:bCs w:val="0"/>
          <w:sz w:val="30"/>
          <w:szCs w:val="30"/>
        </w:rPr>
        <w:t>一、需求明细一览表</w:t>
      </w:r>
    </w:p>
    <w:tbl>
      <w:tblPr>
        <w:tblStyle w:val="12"/>
        <w:tblW w:w="87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1707"/>
        <w:gridCol w:w="1066"/>
        <w:gridCol w:w="977"/>
        <w:gridCol w:w="4102"/>
      </w:tblGrid>
      <w:tr w14:paraId="19DAE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932" w:type="dxa"/>
            <w:vAlign w:val="center"/>
          </w:tcPr>
          <w:p w14:paraId="10DFDC50">
            <w:pPr>
              <w:jc w:val="center"/>
              <w:rPr>
                <w:rFonts w:hint="eastAsia" w:ascii="仿宋" w:hAnsi="仿宋" w:eastAsia="仿宋"/>
                <w:b/>
                <w:sz w:val="24"/>
                <w:szCs w:val="24"/>
              </w:rPr>
            </w:pPr>
            <w:r>
              <w:rPr>
                <w:rFonts w:hint="eastAsia" w:ascii="仿宋" w:hAnsi="仿宋" w:eastAsia="仿宋"/>
                <w:b/>
                <w:sz w:val="24"/>
                <w:szCs w:val="24"/>
              </w:rPr>
              <w:t>序号</w:t>
            </w:r>
          </w:p>
        </w:tc>
        <w:tc>
          <w:tcPr>
            <w:tcW w:w="1707" w:type="dxa"/>
            <w:vAlign w:val="center"/>
          </w:tcPr>
          <w:p w14:paraId="322D4CFC">
            <w:pPr>
              <w:jc w:val="center"/>
              <w:rPr>
                <w:rFonts w:hint="eastAsia" w:ascii="仿宋" w:hAnsi="仿宋" w:eastAsia="仿宋"/>
                <w:b/>
                <w:sz w:val="24"/>
                <w:szCs w:val="24"/>
              </w:rPr>
            </w:pPr>
            <w:r>
              <w:rPr>
                <w:rFonts w:hint="eastAsia" w:ascii="仿宋" w:hAnsi="仿宋" w:eastAsia="仿宋"/>
                <w:b/>
                <w:sz w:val="24"/>
                <w:szCs w:val="24"/>
              </w:rPr>
              <w:t>项目内容</w:t>
            </w:r>
          </w:p>
        </w:tc>
        <w:tc>
          <w:tcPr>
            <w:tcW w:w="1066" w:type="dxa"/>
            <w:vAlign w:val="center"/>
          </w:tcPr>
          <w:p w14:paraId="7E7378AE">
            <w:pPr>
              <w:ind w:firstLine="241" w:firstLineChars="100"/>
              <w:jc w:val="center"/>
              <w:rPr>
                <w:rFonts w:hint="eastAsia" w:ascii="仿宋" w:hAnsi="仿宋" w:eastAsia="仿宋"/>
                <w:b/>
                <w:sz w:val="24"/>
                <w:szCs w:val="24"/>
              </w:rPr>
            </w:pPr>
            <w:r>
              <w:rPr>
                <w:rFonts w:hint="eastAsia" w:ascii="仿宋" w:hAnsi="仿宋" w:eastAsia="仿宋"/>
                <w:b/>
                <w:sz w:val="24"/>
                <w:szCs w:val="24"/>
              </w:rPr>
              <w:t>数量</w:t>
            </w:r>
          </w:p>
        </w:tc>
        <w:tc>
          <w:tcPr>
            <w:tcW w:w="977" w:type="dxa"/>
            <w:vAlign w:val="center"/>
          </w:tcPr>
          <w:p w14:paraId="67F13A4F">
            <w:pPr>
              <w:jc w:val="center"/>
              <w:rPr>
                <w:rFonts w:hint="eastAsia" w:ascii="仿宋" w:hAnsi="仿宋" w:eastAsia="仿宋"/>
                <w:b/>
                <w:sz w:val="24"/>
                <w:szCs w:val="24"/>
              </w:rPr>
            </w:pPr>
            <w:r>
              <w:rPr>
                <w:rFonts w:hint="eastAsia" w:ascii="仿宋" w:hAnsi="仿宋" w:eastAsia="仿宋"/>
                <w:b/>
                <w:sz w:val="24"/>
                <w:szCs w:val="24"/>
              </w:rPr>
              <w:t>单位</w:t>
            </w:r>
          </w:p>
        </w:tc>
        <w:tc>
          <w:tcPr>
            <w:tcW w:w="4102" w:type="dxa"/>
            <w:vAlign w:val="center"/>
          </w:tcPr>
          <w:p w14:paraId="05671DF8">
            <w:pPr>
              <w:jc w:val="center"/>
              <w:rPr>
                <w:rFonts w:hint="eastAsia" w:ascii="仿宋" w:hAnsi="仿宋" w:eastAsia="仿宋"/>
                <w:b/>
                <w:sz w:val="24"/>
                <w:szCs w:val="24"/>
              </w:rPr>
            </w:pPr>
            <w:r>
              <w:rPr>
                <w:rFonts w:hint="eastAsia" w:ascii="仿宋" w:hAnsi="仿宋" w:eastAsia="仿宋"/>
                <w:b/>
                <w:sz w:val="24"/>
                <w:szCs w:val="24"/>
              </w:rPr>
              <w:t>备注</w:t>
            </w:r>
          </w:p>
        </w:tc>
      </w:tr>
      <w:tr w14:paraId="0B7F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5" w:hRule="atLeast"/>
          <w:jc w:val="center"/>
        </w:trPr>
        <w:tc>
          <w:tcPr>
            <w:tcW w:w="932" w:type="dxa"/>
            <w:vAlign w:val="center"/>
          </w:tcPr>
          <w:p w14:paraId="210C04E0">
            <w:pPr>
              <w:jc w:val="center"/>
              <w:rPr>
                <w:rFonts w:hint="eastAsia" w:ascii="仿宋" w:hAnsi="仿宋" w:eastAsia="仿宋"/>
                <w:bCs/>
                <w:sz w:val="24"/>
                <w:szCs w:val="24"/>
              </w:rPr>
            </w:pPr>
            <w:r>
              <w:rPr>
                <w:rFonts w:hint="eastAsia" w:ascii="仿宋" w:hAnsi="仿宋" w:eastAsia="仿宋"/>
                <w:bCs/>
                <w:sz w:val="24"/>
                <w:szCs w:val="24"/>
              </w:rPr>
              <w:t>1</w:t>
            </w:r>
          </w:p>
        </w:tc>
        <w:tc>
          <w:tcPr>
            <w:tcW w:w="1707" w:type="dxa"/>
            <w:vAlign w:val="center"/>
          </w:tcPr>
          <w:p w14:paraId="3116DDE1">
            <w:pPr>
              <w:jc w:val="center"/>
              <w:rPr>
                <w:rFonts w:hint="default" w:ascii="仿宋" w:hAnsi="仿宋" w:eastAsia="仿宋"/>
                <w:bCs/>
                <w:sz w:val="24"/>
                <w:szCs w:val="24"/>
                <w:lang w:val="en-US" w:eastAsia="zh-CN"/>
              </w:rPr>
            </w:pPr>
            <w:r>
              <w:rPr>
                <w:rFonts w:hint="eastAsia" w:ascii="仿宋" w:hAnsi="仿宋" w:eastAsia="仿宋"/>
                <w:bCs/>
                <w:sz w:val="24"/>
                <w:szCs w:val="24"/>
                <w:lang w:val="en-US" w:eastAsia="zh-CN"/>
              </w:rPr>
              <w:t>智慧课程建设</w:t>
            </w:r>
          </w:p>
        </w:tc>
        <w:tc>
          <w:tcPr>
            <w:tcW w:w="1066" w:type="dxa"/>
            <w:vAlign w:val="center"/>
          </w:tcPr>
          <w:p w14:paraId="11EBCA84">
            <w:pPr>
              <w:jc w:val="center"/>
              <w:rPr>
                <w:rFonts w:hint="eastAsia" w:ascii="仿宋" w:hAnsi="仿宋" w:eastAsia="仿宋"/>
                <w:bCs/>
                <w:sz w:val="24"/>
                <w:szCs w:val="24"/>
                <w:lang w:val="en-US" w:eastAsia="zh-CN"/>
              </w:rPr>
            </w:pPr>
            <w:r>
              <w:rPr>
                <w:rFonts w:hint="eastAsia" w:ascii="仿宋" w:hAnsi="仿宋" w:eastAsia="仿宋"/>
                <w:bCs/>
                <w:sz w:val="24"/>
                <w:szCs w:val="24"/>
                <w:lang w:val="en-US" w:eastAsia="zh-CN"/>
              </w:rPr>
              <w:t>8</w:t>
            </w:r>
          </w:p>
        </w:tc>
        <w:tc>
          <w:tcPr>
            <w:tcW w:w="977" w:type="dxa"/>
            <w:vAlign w:val="center"/>
          </w:tcPr>
          <w:p w14:paraId="4B493240">
            <w:pPr>
              <w:jc w:val="center"/>
              <w:rPr>
                <w:rFonts w:hint="eastAsia" w:ascii="仿宋" w:hAnsi="仿宋" w:eastAsia="仿宋"/>
                <w:bCs/>
                <w:sz w:val="24"/>
                <w:szCs w:val="24"/>
                <w:lang w:val="en-US" w:eastAsia="zh-CN"/>
              </w:rPr>
            </w:pPr>
            <w:r>
              <w:rPr>
                <w:rFonts w:hint="eastAsia" w:ascii="仿宋" w:hAnsi="仿宋" w:eastAsia="仿宋"/>
                <w:bCs/>
                <w:sz w:val="24"/>
                <w:szCs w:val="24"/>
                <w:lang w:val="en-US" w:eastAsia="zh-CN"/>
              </w:rPr>
              <w:t>门</w:t>
            </w:r>
          </w:p>
        </w:tc>
        <w:tc>
          <w:tcPr>
            <w:tcW w:w="4102" w:type="dxa"/>
            <w:vAlign w:val="center"/>
          </w:tcPr>
          <w:p w14:paraId="29DB1CF2">
            <w:pPr>
              <w:jc w:val="center"/>
              <w:rPr>
                <w:rFonts w:hint="default" w:ascii="仿宋" w:hAnsi="仿宋" w:eastAsia="仿宋"/>
                <w:bCs/>
                <w:sz w:val="24"/>
                <w:szCs w:val="24"/>
                <w:lang w:val="en-US" w:eastAsia="zh-CN"/>
              </w:rPr>
            </w:pPr>
            <w:r>
              <w:rPr>
                <w:rFonts w:hint="eastAsia" w:ascii="仿宋" w:hAnsi="仿宋" w:eastAsia="仿宋"/>
                <w:bCs/>
                <w:sz w:val="24"/>
                <w:szCs w:val="24"/>
                <w:lang w:val="en-US" w:eastAsia="zh-CN"/>
              </w:rPr>
              <w:t>含</w:t>
            </w:r>
            <w:r>
              <w:rPr>
                <w:rFonts w:hint="default" w:ascii="仿宋" w:hAnsi="仿宋" w:eastAsia="仿宋"/>
                <w:bCs/>
                <w:sz w:val="24"/>
                <w:szCs w:val="24"/>
                <w:lang w:val="en-US" w:eastAsia="zh-CN"/>
              </w:rPr>
              <w:t>智慧课程设计、AI智能体部分、任务引擎部分、课程运行、智慧课程门户搭建与美化</w:t>
            </w:r>
            <w:r>
              <w:rPr>
                <w:rFonts w:hint="eastAsia" w:ascii="仿宋" w:hAnsi="仿宋" w:eastAsia="仿宋"/>
                <w:bCs/>
                <w:sz w:val="24"/>
                <w:szCs w:val="24"/>
                <w:lang w:val="en-US" w:eastAsia="zh-CN"/>
              </w:rPr>
              <w:t>，多元知识图谱部分：（知识图谱、能力图谱、思政图谱、问题图谱）</w:t>
            </w:r>
          </w:p>
        </w:tc>
      </w:tr>
    </w:tbl>
    <w:p w14:paraId="186CA0D0"/>
    <w:p w14:paraId="0E2D31A4"/>
    <w:p w14:paraId="1EE965BC">
      <w:pPr>
        <w:pStyle w:val="8"/>
        <w:numPr>
          <w:ilvl w:val="0"/>
          <w:numId w:val="1"/>
        </w:numPr>
        <w:spacing w:line="240" w:lineRule="atLeast"/>
        <w:rPr>
          <w:rFonts w:hint="eastAsia" w:ascii="仿宋" w:hAnsi="仿宋" w:eastAsia="仿宋" w:cs="仿宋"/>
          <w:sz w:val="25"/>
          <w:szCs w:val="25"/>
        </w:rPr>
      </w:pPr>
      <w:r>
        <w:rPr>
          <w:rFonts w:hint="eastAsia" w:ascii="仿宋" w:hAnsi="仿宋" w:eastAsia="仿宋"/>
          <w:bCs w:val="0"/>
          <w:sz w:val="30"/>
          <w:szCs w:val="30"/>
          <w:lang w:val="en-US" w:eastAsia="zh-CN"/>
        </w:rPr>
        <w:t>智慧课程建设要求</w:t>
      </w:r>
    </w:p>
    <w:p w14:paraId="4F446A7D">
      <w:pPr>
        <w:rPr>
          <w:rFonts w:hint="eastAsia" w:ascii="仿宋" w:hAnsi="仿宋" w:eastAsia="仿宋"/>
          <w:b/>
          <w:kern w:val="28"/>
          <w:sz w:val="30"/>
          <w:szCs w:val="30"/>
        </w:rPr>
      </w:pPr>
      <w:r>
        <w:rPr>
          <w:rFonts w:hint="eastAsia" w:ascii="仿宋" w:hAnsi="仿宋" w:eastAsia="仿宋"/>
          <w:b/>
          <w:kern w:val="28"/>
          <w:sz w:val="30"/>
          <w:szCs w:val="30"/>
        </w:rPr>
        <w:t>（</w:t>
      </w:r>
      <w:r>
        <w:rPr>
          <w:rFonts w:hint="eastAsia" w:ascii="仿宋" w:hAnsi="仿宋" w:eastAsia="仿宋"/>
          <w:b/>
          <w:kern w:val="28"/>
          <w:sz w:val="30"/>
          <w:szCs w:val="30"/>
          <w:lang w:val="en-US" w:eastAsia="zh-CN"/>
        </w:rPr>
        <w:t>一</w:t>
      </w:r>
      <w:r>
        <w:rPr>
          <w:rFonts w:hint="eastAsia" w:ascii="仿宋" w:hAnsi="仿宋" w:eastAsia="仿宋"/>
          <w:b/>
          <w:kern w:val="28"/>
          <w:sz w:val="30"/>
          <w:szCs w:val="30"/>
        </w:rPr>
        <w:t>）智慧课程</w:t>
      </w:r>
    </w:p>
    <w:p w14:paraId="605B430C">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一、课程内容智慧化重构</w:t>
      </w:r>
    </w:p>
    <w:p w14:paraId="7FB29D2E">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1.1智慧课程顶层设计专项服务</w:t>
      </w:r>
    </w:p>
    <w:p w14:paraId="3BEB92ED">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1.1.1专家工作坊专项服务</w:t>
      </w:r>
    </w:p>
    <w:p w14:paraId="36C7317B">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由智慧课程设计专家组建专家指导工作组，提供智慧课程设计专家工作坊，提供理论、实践等方面的培训，围绕智慧课程设计、智慧课程建设、智慧课程运行等进行培训。围绕教育数字化政策落地、AI赋能课程建设、知识图谱搭建、能力导向教学改革、过程性评价体系搭建五大模块开展集中培训与研讨。输出完整工作坊实施方案、培训课件、研讨纪要、建设整改清单，统一课程建设标准与建设思路。</w:t>
      </w:r>
    </w:p>
    <w:p w14:paraId="12102F9D">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1.1.2专家一对一课程定制指导</w:t>
      </w:r>
    </w:p>
    <w:p w14:paraId="1C1408A0">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由智慧课程设计专家指导工作组开展一对一指导，立足本校定位和课程发展，基于“四新”建设要求和专业人才培养目标进行课程目标分析和学习者分析，明确课程在“四新”要求下的新定位和目标，实现从人才培养目标、毕业能力要求到课程目标的逐级拆解，明确它们之间内在的逐级支撑关系，以此为依据重新梳理课程知识点，深度结合课程进行内容重构，打破传统课程组织模式，设计课程适配的教学模式，同时融入最新科技成果和行业实践，强化产教融合、科教融汇。形成课程优化后的课程目标、课程内容体系、图谱建设思路、教学模式呈现思路、教学评价体系。</w:t>
      </w:r>
    </w:p>
    <w:p w14:paraId="4984D15E">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1.1.3同类课程对标调研与课程提质方案编制</w:t>
      </w:r>
    </w:p>
    <w:p w14:paraId="6142EBDF">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对标国家一流课程、省级精品在线开放课程、同类院校标杆智慧课程，完成不少于5门优质课程深度调研。调研同类课程在教学目标设定、教学内容重构与组织方式、教学方法和手段、考核方式、产教融合做法及“人工智能+课程”探索等方面的情况。基于同类课程分析结果，结合本校课程实际情况，提出课程提质建议，编制可落地、可执行的课程提质升级专项方案。</w:t>
      </w:r>
    </w:p>
    <w:p w14:paraId="040CB768">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1.1.4基于“四新”要求的课程目标分层拆解设计</w:t>
      </w:r>
    </w:p>
    <w:p w14:paraId="2D98E7C7">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紧扣新时代“四新”建设改革要求，对接行业新标准、新规范、新技术、新岗位能力需求，对课程整体育人目标进行分层拆解。逐层拆解为知识目标、能力目标、素养目标、思政目标四维细分目标，实现课程目标与专业毕业要求、人才培养规格、岗位职业能力精准对标，明确各章节、各知识点对应的育人指标。</w:t>
      </w:r>
    </w:p>
    <w:p w14:paraId="2FBADC5C">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1.1.5产教融合、科教融汇课程内容重构方案</w:t>
      </w:r>
    </w:p>
    <w:p w14:paraId="22FE1DE3">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打破传统教材章节固化边界，立足产业发展、科研前沿、行业真实项目场景开展课程内容重构。融入企业真实案例、岗位实操项目、学科前沿科研成果，删减陈旧滞后内容，增加实践性、创新性、综合性教学模块，构建“理论基础+行业实践+科研创新+思政浸润”一体化课程内容体系。</w:t>
      </w:r>
    </w:p>
    <w:p w14:paraId="54F7866D">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1.1.6课程完整设计方案标准化交付</w:t>
      </w:r>
    </w:p>
    <w:p w14:paraId="3A0BAB67">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最终交付成套标准化智慧课程建设成果文件，包含：课程整体定位与建设方案、分层育人目标体系、课程知识图谱架构方案、产教融合内容重构方案、AI智能化教学应用方案、全过程多元评价方案、课程运行保障方案、教学成果培育方案。</w:t>
      </w:r>
    </w:p>
    <w:p w14:paraId="37093DD2">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1.2多维度全系列课程图谱体系建设</w:t>
      </w:r>
    </w:p>
    <w:p w14:paraId="6FD06CBA">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1.2.1知识图谱建设服务</w:t>
      </w:r>
    </w:p>
    <w:p w14:paraId="3851ABCB">
      <w:pPr>
        <w:spacing w:line="360" w:lineRule="auto"/>
        <w:ind w:firstLine="500" w:firstLineChars="200"/>
        <w:rPr>
          <w:rFonts w:hint="eastAsia" w:ascii="仿宋" w:hAnsi="仿宋" w:eastAsia="仿宋" w:cs="仿宋"/>
          <w:sz w:val="25"/>
          <w:szCs w:val="25"/>
          <w:lang w:eastAsia="zh-CN"/>
        </w:rPr>
      </w:pPr>
      <w:r>
        <w:rPr>
          <w:rFonts w:hint="eastAsia" w:ascii="仿宋" w:hAnsi="仿宋" w:eastAsia="仿宋" w:cs="仿宋"/>
          <w:sz w:val="25"/>
          <w:szCs w:val="25"/>
        </w:rPr>
        <w:t>支持AI生成知识图谱、智能导入，支持同步其他课程知识图谱（全量或部分），支持课程章节一键转化生成知识图谱并自动进行资源关联；系统提供至少8种图谱形态，用户可根据课程性质选择合适的图谱形态进行编辑，支持AI图谱美化，输入提示词，一键实现课程知识图谱页面美化；支持构建问题图谱，学生通过核心问题与子问题连接形成知识网络并与标准答案对比。</w:t>
      </w:r>
      <w:r>
        <w:rPr>
          <w:rFonts w:hint="eastAsia" w:ascii="仿宋" w:hAnsi="仿宋" w:eastAsia="仿宋" w:cs="仿宋"/>
          <w:sz w:val="25"/>
          <w:szCs w:val="25"/>
          <w:lang w:eastAsia="zh-CN"/>
        </w:rPr>
        <w:t xml:space="preserve"> </w:t>
      </w:r>
    </w:p>
    <w:p w14:paraId="4F6A0CD7">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支持知识点多层级架构建立，生成分类—知识点关系；支持手动添加、批量导入等方式构建知识图谱，批量导入需支持填写知识点名称、标签信息、认知维度、分类属性、教学目标、知识点说明等数据；支持智能导入，用户上传课程大纲、教材或PPT文件等，系统智能识别并构建生成知识图谱；支持本地导入xmind格式的思维导图文件，自动读取文件数据生成课程知识图谱，并能够导出excel格式文件。</w:t>
      </w:r>
    </w:p>
    <w:p w14:paraId="49565241">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w:t>
      </w:r>
      <w:r>
        <w:rPr>
          <w:rFonts w:hint="eastAsia" w:ascii="仿宋" w:hAnsi="仿宋" w:eastAsia="仿宋" w:cs="仿宋"/>
          <w:sz w:val="25"/>
          <w:szCs w:val="25"/>
          <w:lang w:val="en-US" w:eastAsia="zh-CN"/>
        </w:rPr>
        <w:t>课程运行平台</w:t>
      </w:r>
      <w:r>
        <w:rPr>
          <w:rFonts w:hint="eastAsia" w:ascii="仿宋" w:hAnsi="仿宋" w:eastAsia="仿宋" w:cs="仿宋"/>
          <w:sz w:val="25"/>
          <w:szCs w:val="25"/>
        </w:rPr>
        <w:t>可通过选择生成章节图谱；支持同步其他课程图谱，支持全量同步或者部分选择同步；支持AI生成图谱功能，系统基于教师已建设好的网络课程结合AI应用自动生成知识图谱，并支持直接使用生成的图谱，同时支持在生成的图谱上进行自定义化修改。</w:t>
      </w:r>
    </w:p>
    <w:p w14:paraId="31739DBF">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支持知识点之间进行前置关系、后置关系、关联关系的设置，支持额外新增其他自定义关系；支持给知识点打标签，自定义标签内容，支持同一个知识点标记多个标签，具备为知识点设定重点、难点以及考点等标签的功能，同时支持用户自定义标签名称；支持知识点被赋予某一分类属性，包括事实性、概念性、程序性、元认知等。</w:t>
      </w:r>
    </w:p>
    <w:p w14:paraId="6F7FA607">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（4）支持进行跨课知识点关联，实现不同课程之间知识的聚合联动，关联后可以实现跨课学习并进行专业下多门课程的知识点关联展示应用。支持选择跨课程知识点直接跳转至相关微课进行学习。</w:t>
      </w:r>
    </w:p>
    <w:p w14:paraId="5F617B6B">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（5）知识图谱显示支持2D和3D展示效果，用户可自主进行模式切换。支持用户自由绘制知识图谱，通过视觉高亮突出重点区域；支持根据个人喜好切换图谱背景色，并支持自定义背景色。</w:t>
      </w:r>
    </w:p>
    <w:p w14:paraId="4A901D1A">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1.2.2问题图谱建设服务</w:t>
      </w:r>
    </w:p>
    <w:p w14:paraId="56991C0A">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基于课程知识图谱，建设不少于三层的问题体系，系统提供对每层级问题的定义能力，允许用户添加问题详情及其与知识点的关联。支持通过图谱形式展现问题与知识点的关联；提供两种子级问题关联方式，包括层级连线和板块关联功能。</w:t>
      </w:r>
    </w:p>
    <w:p w14:paraId="627212DF">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支持开启探索模式，模拟学生学习路径，通过问题选择和知识点关联，促进学生的深入思考；在探索模式中，用户被引导将核心问题与子问题连接，形成知识网络，并通过提交与标准答案对比，实现自我评估。支持自定义内容组：在问题图谱探索模式下，用户可选择特定内容组（如某一单元或章节）进行深入分析，系统只显示与该内容组相关的问题和知识点，帮助用户集中理解特定部分。</w:t>
      </w:r>
    </w:p>
    <w:p w14:paraId="4407EC86">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1.2.3岗位能力图谱建设服务</w:t>
      </w:r>
    </w:p>
    <w:p w14:paraId="1B985434">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岗位能力图谱构建：支持“以岗定课”建设逻辑，围绕课程对接的典型岗位，梳理岗位能力要求，依据岗位能力和学生认知规律构建课程体系框架，按照“岗位—岗位能力—项目—任务—任务点”五层结构构建岗位能力图谱，实现技能结构可视化展示。一个岗位能力下可由一个或多个项目支撑完成，支持将行业企业新技术、新工艺、新规范融入课程内容。</w:t>
      </w:r>
    </w:p>
    <w:p w14:paraId="40FFE28B">
      <w:pPr>
        <w:spacing w:line="360" w:lineRule="auto"/>
        <w:ind w:firstLine="500" w:firstLineChars="200"/>
        <w:rPr>
          <w:rFonts w:hint="eastAsia" w:ascii="仿宋" w:hAnsi="仿宋" w:eastAsia="仿宋" w:cs="仿宋"/>
          <w:sz w:val="25"/>
          <w:szCs w:val="25"/>
          <w:lang w:eastAsia="zh-CN"/>
        </w:rPr>
      </w:pPr>
      <w:r>
        <w:rPr>
          <w:rFonts w:hint="eastAsia" w:ascii="仿宋" w:hAnsi="仿宋" w:eastAsia="仿宋" w:cs="仿宋"/>
          <w:sz w:val="25"/>
          <w:szCs w:val="25"/>
        </w:rPr>
        <w:t>（2）岗位能力图谱与任务引擎无缝跳转：支持岗位能力图谱与任务引擎数据打通，系统根据项目ID自动从任务引擎拉取对应的任务分组和任务点数据，生成完整五层图谱。在后三层（项目、任务、任务点）关系卡片中，点击具体节点名称可直接跳转至任务引擎对应页面：教师端点击项目跳转任务列表编辑页、点击任务跳转对应项目编辑页、点击任务点跳转任务点编辑界面；学生端点击项目跳转任务列表学习页、点击任务跳转任务分组学习界面、点击任务点跳转任务点学习界面。</w:t>
      </w:r>
      <w:r>
        <w:rPr>
          <w:rFonts w:hint="eastAsia" w:ascii="仿宋" w:hAnsi="仿宋" w:eastAsia="仿宋" w:cs="仿宋"/>
          <w:sz w:val="25"/>
          <w:szCs w:val="25"/>
          <w:lang w:eastAsia="zh-CN"/>
        </w:rPr>
        <w:t xml:space="preserve"> </w:t>
      </w:r>
    </w:p>
    <w:p w14:paraId="5A217244">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岗位能力图谱批量导入：支持从任务引擎导出项目列表Excel文件（包含项目名称和项目ID字段），下载预设模板后填写岗位、岗位能力、项目名称及项目ID，通过批量导入上传数据，系统自动根据项目ID从任务引擎拉取对应任务分组和任务点数据，生成完整五层岗位能力图谱。</w:t>
      </w:r>
    </w:p>
    <w:p w14:paraId="55D631E3">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4）岗位能力图谱编辑管理：在岗位能力图谱展示页面，支持编辑数据和编辑层级类别，可对岗位、岗位能力、项目、任务、任务点各层级节点进行增删改操作，支持调整层级关系和节点属性配置，支持图谱数据一键导出。</w:t>
      </w:r>
    </w:p>
    <w:p w14:paraId="7BA019B2">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1.2.4课程思政图谱建设服务</w:t>
      </w:r>
    </w:p>
    <w:p w14:paraId="2AE0AFF2">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（1）支持自动根据现有的图谱信息生成课程思政图谱的功能；支持将标签为“课程思政”的知识点以花朵的形式呈现，以视觉突出其在课程中的核心地位，同时以花苞的形式展示其他的知识点。</w:t>
      </w:r>
    </w:p>
    <w:p w14:paraId="2D55E944">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支持搜索功能覆盖知识点、分类和标签；支持通过点击操作，可深入分类卡片获取详细信息，用户也可以选择开启知识点卡片，直接跳转至微课进行学习。支持以列表形式呈现与知识点相关联的多种资源类型，涵盖知识词条、学术期刊、图书、学术论著等。</w:t>
      </w:r>
    </w:p>
    <w:p w14:paraId="128D759D">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1.2.</w:t>
      </w:r>
      <w:r>
        <w:rPr>
          <w:rFonts w:hint="eastAsia" w:ascii="仿宋" w:hAnsi="仿宋" w:eastAsia="仿宋" w:cs="仿宋"/>
          <w:sz w:val="25"/>
          <w:szCs w:val="25"/>
          <w:lang w:val="en-US" w:eastAsia="zh-CN"/>
        </w:rPr>
        <w:t>5</w:t>
      </w:r>
      <w:r>
        <w:rPr>
          <w:rFonts w:hint="eastAsia" w:ascii="仿宋" w:hAnsi="仿宋" w:eastAsia="仿宋" w:cs="仿宋"/>
          <w:sz w:val="25"/>
          <w:szCs w:val="25"/>
        </w:rPr>
        <w:t>智慧课程群图谱联动建设</w:t>
      </w:r>
    </w:p>
    <w:p w14:paraId="4D537519">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（1）以核心课程为基点，支持构建相互关联、层层递进的智慧课程群，打破课程边界，形成学科专业的完整知识链条，呈现横向融通、纵向贯通专业课程体系。</w:t>
      </w:r>
    </w:p>
    <w:p w14:paraId="385E9F57">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（2）支持用户根据需求灵活选择不同的图谱模式，将自定义内容与课程群内的课程——知识点进行可视化关联。</w:t>
      </w:r>
    </w:p>
    <w:p w14:paraId="653BDEF4">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（3）支持创立智慧课程群展示门户，可自定义课程群门户信息包括课程群名称、课程群类型、课程群介绍、教师团队等信息。</w:t>
      </w:r>
    </w:p>
    <w:p w14:paraId="1A238212">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4）支持数据统计功能，可查看课程群门户中的课程数、课程图谱数、知识点总数、教学资源数；具备资源分布统计功能，可以展示课程群所包含的每门课程的资源总数，包括视频、音频、文档、题目、其他等；具备资源分类展示功能，以饼状图及柱状图展示课程群下每门课程资源的分布情况。</w:t>
      </w:r>
    </w:p>
    <w:p w14:paraId="7025EF55">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w:t>
      </w:r>
      <w:r>
        <w:rPr>
          <w:rFonts w:hint="eastAsia" w:ascii="仿宋" w:hAnsi="仿宋" w:eastAsia="仿宋" w:cs="仿宋"/>
          <w:sz w:val="25"/>
          <w:szCs w:val="25"/>
          <w:lang w:val="en-US" w:eastAsia="zh-CN"/>
        </w:rPr>
        <w:t>3</w:t>
      </w:r>
      <w:r>
        <w:rPr>
          <w:rFonts w:hint="eastAsia" w:ascii="仿宋" w:hAnsi="仿宋" w:eastAsia="仿宋" w:cs="仿宋"/>
          <w:sz w:val="25"/>
          <w:szCs w:val="25"/>
        </w:rPr>
        <w:t>课程专属AI知识库&amp;问答库搭建</w:t>
      </w:r>
    </w:p>
    <w:p w14:paraId="70349C83">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w:t>
      </w:r>
      <w:r>
        <w:rPr>
          <w:rFonts w:hint="eastAsia" w:ascii="仿宋" w:hAnsi="仿宋" w:eastAsia="仿宋" w:cs="仿宋"/>
          <w:sz w:val="25"/>
          <w:szCs w:val="25"/>
          <w:lang w:val="en-US" w:eastAsia="zh-CN"/>
        </w:rPr>
        <w:t>3</w:t>
      </w:r>
      <w:r>
        <w:rPr>
          <w:rFonts w:hint="eastAsia" w:ascii="仿宋" w:hAnsi="仿宋" w:eastAsia="仿宋" w:cs="仿宋"/>
          <w:sz w:val="25"/>
          <w:szCs w:val="25"/>
        </w:rPr>
        <w:t>.1通用大模型多端对接适配</w:t>
      </w:r>
    </w:p>
    <w:p w14:paraId="7D620ADE">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根据学校配置，完成指定通用大语言模型或多个通用大模型对接，包括Kimi、豆包、文心一言、DeepSeek等热门大模型的对接。</w:t>
      </w:r>
    </w:p>
    <w:p w14:paraId="3DC048EE">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w:t>
      </w:r>
      <w:r>
        <w:rPr>
          <w:rFonts w:hint="eastAsia" w:ascii="仿宋" w:hAnsi="仿宋" w:eastAsia="仿宋" w:cs="仿宋"/>
          <w:sz w:val="25"/>
          <w:szCs w:val="25"/>
          <w:lang w:val="en-US" w:eastAsia="zh-CN"/>
        </w:rPr>
        <w:t>3</w:t>
      </w:r>
      <w:r>
        <w:rPr>
          <w:rFonts w:hint="eastAsia" w:ascii="仿宋" w:hAnsi="仿宋" w:eastAsia="仿宋" w:cs="仿宋"/>
          <w:sz w:val="25"/>
          <w:szCs w:val="25"/>
        </w:rPr>
        <w:t>.2课程专属AI知识库建设</w:t>
      </w:r>
    </w:p>
    <w:p w14:paraId="0FE57BB5">
      <w:pPr>
        <w:spacing w:line="360" w:lineRule="auto"/>
        <w:ind w:firstLine="500" w:firstLineChars="200"/>
        <w:rPr>
          <w:rFonts w:hint="eastAsia" w:ascii="仿宋" w:hAnsi="仿宋" w:eastAsia="仿宋" w:cs="仿宋"/>
          <w:sz w:val="25"/>
          <w:szCs w:val="25"/>
          <w:lang w:eastAsia="zh-CN"/>
        </w:rPr>
      </w:pPr>
      <w:r>
        <w:rPr>
          <w:rFonts w:hint="eastAsia" w:ascii="仿宋" w:hAnsi="仿宋" w:eastAsia="仿宋" w:cs="仿宋"/>
          <w:sz w:val="25"/>
          <w:szCs w:val="25"/>
        </w:rPr>
        <w:t>支持一键同步在线课程并增量同步，支持对接文献库（一次性不超过30本），支持上传文档生成知识切片并二次编辑；支持“单位AI知识库”与“公共AI知识库”双维度管理，提供覆盖多学科领域的公共知识库资源，数量不少于500个，并支持按学科、专业进行分类检索与订阅。</w:t>
      </w:r>
      <w:r>
        <w:rPr>
          <w:rFonts w:hint="eastAsia" w:ascii="仿宋" w:hAnsi="仿宋" w:eastAsia="仿宋" w:cs="仿宋"/>
          <w:sz w:val="25"/>
          <w:szCs w:val="25"/>
          <w:lang w:eastAsia="zh-CN"/>
        </w:rPr>
        <w:t xml:space="preserve"> </w:t>
      </w:r>
    </w:p>
    <w:p w14:paraId="407A622C">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单位知识库+公共知识库双维度管理：支持“单位AI知识库”与“公共AI知识库”双维度管理，可按创建人、创建时间、知识库名称等条件进行精准检索与筛选；系统支持新增知识库、知识库管理及召回参数设置等核心操作，可实时统计并展示总文件数、总字符数等关键数据，支持列表与卡片两种视图切换，同时具备分页查询功能；支持在公共AI知识库订阅相关学科、专业、领域的知识库，公共知识库数量不低于1900个。</w:t>
      </w:r>
    </w:p>
    <w:p w14:paraId="406FC484">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w:t>
      </w:r>
      <w:r>
        <w:rPr>
          <w:rFonts w:hint="eastAsia" w:ascii="仿宋" w:hAnsi="仿宋" w:eastAsia="仿宋" w:cs="仿宋"/>
          <w:sz w:val="25"/>
          <w:szCs w:val="25"/>
          <w:lang w:val="en-US" w:eastAsia="zh-CN"/>
        </w:rPr>
        <w:t>3</w:t>
      </w:r>
      <w:r>
        <w:rPr>
          <w:rFonts w:hint="eastAsia" w:ascii="仿宋" w:hAnsi="仿宋" w:eastAsia="仿宋" w:cs="仿宋"/>
          <w:sz w:val="25"/>
          <w:szCs w:val="25"/>
        </w:rPr>
        <w:t>.3课程AI问答库建设</w:t>
      </w:r>
    </w:p>
    <w:p w14:paraId="1AD8D46A">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供应商建设课程问答库，涵盖常见问题、重点难点问题与拓展性问题，问答库支持智能检索与语义理解；支持用户手动上传文档至问答库，上传后系统可对上传的文档进行解析，解析后可智能回答文档相关问题；支持同步网络课程资料进行智能解析，解析后可围绕课程内容进行人机问答； AI助教可自动对没有答案的问题描述进行关键词识别并统计聚类，按照关键词问答频率由高到低排序，同时可以批量导出未知问题。支持查询图书、期刊等文献，根据用户输入问题推荐相关文献，图书、期刊等推荐文献支持通过在线查看原文、文献传递等途径获取；支持针对用户网络课程学习进度和掌握情况个性化推荐学习资源；支持移动端、PC端多种使用渠道。</w:t>
      </w:r>
    </w:p>
    <w:p w14:paraId="25AD9B1F">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二、智能教学应用与工具</w:t>
      </w:r>
    </w:p>
    <w:p w14:paraId="3217753B">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2.1AI一体化工作台全系列智能应用</w:t>
      </w:r>
    </w:p>
    <w:p w14:paraId="4975217C">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2.1.1备课类AI工具</w:t>
      </w:r>
    </w:p>
    <w:p w14:paraId="2B97F92E">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AI教案：教师输入教学材料或关键词，AI自动生成教案，并支持教师借助写作助手进行再次编辑；支持教师补充所教层次、适合的教学风格，形成更加具有个性化的教案；支持一键导出教案，并且支持按学校教案模板导出。AI教案须具备3种创作方式：自定义教案内容、模板库选择、手动上传模板/自定义模板；手动上传模板支持原文档仿写和空模板创作。</w:t>
      </w:r>
    </w:p>
    <w:p w14:paraId="7EA0615F">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AI课件：通过输入PPT内容要求，AI智能生成PPT大纲；支持教师在线直接编辑生成的大纲内容；支持AI自动根据大纲生成PPT，教师可以进行在线编辑或下载；支持选择PPT模板场景、设计风格、主题颜色，生成个性化PPT；支持根据授课进度选择对应章节，AI解析章节中的关键知识点，生成符合教学进度的PPT课件。</w:t>
      </w:r>
    </w:p>
    <w:p w14:paraId="04D54113">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AI智能写作、章节内容智能审查与文本纠错：老师可以向AI写作助手提出需求，智能生成相应内容，老师可进行文本修改、删减或排版；在章节编辑页面，选中内容可进行AI改写、扩写、续写、简写、翻译等操作；支持多维度审核，针对文本、图片、文档、课程进行在线审核，审查资源中是否包括多类敏感违规文本或图片，支持配置关键词、忽略词，便于系统审核时对关键词和忽略词进行屏蔽与忽略，降低人工审核的错误率。</w:t>
      </w:r>
    </w:p>
    <w:p w14:paraId="55F4DF9F">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2.1.2智能测评类AI工具</w:t>
      </w:r>
    </w:p>
    <w:p w14:paraId="71861062">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AI出题：支持教师通过知识点、输入文本、上传附件文档和视频、选定章节等多种方式，搭配补充出题要求说明，由AI自动生成相应试题，AI系统自动生成对应的题目并且不限制教师使用次数；支持多种题型，包括选择题、填空题、简答题等；教师可以根据课程内容和学生水平将生成的题目添加到题库；支持设置出题要求，如适用年级、难易度、题目偏向等；支持教师在线编辑调整AI生成的试题，也可以一键加入题库，组成作业考试发布给学生，并且支持跨课程使用生成的题目；支持AI口语测评题出题、听力题AI语音生成、AI程序题出题。</w:t>
      </w:r>
    </w:p>
    <w:p w14:paraId="56A5D081">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AI批阅：使用先进的AI技术，能够批阅学生的主观题、论述题、小论文等；对参考答案和学生答案进行分词处理和语法分析，计算词语和语句的相似度；支持利用语义相似度计算结果给出学生相应的得分；系统可以根据教师设置的得分点来匹配得分；支持智能批阅程序题、智能批阅口语题；支持从结构、内容、语言等6个大维度，12～16个细分维度进行打分，并给出推荐总分；AI批阅系统不仅提供整体评价，还支持对精彩句子进行点评，并给出提升建议；支持揪出学生作文中的错别字，提供修改建议。主观题智能批阅对于计算题，具备对学生手写拍照的多张图片进行智能批阅的功能，给出推荐得分和评语，教师对AI批阅结果不满意时可以重新生成AI批阅结果；对于英语作文，具备CET四级、CET六级等多种年级标准，具备逐句点评功能，指出学生作文中的拼写、语法错误。</w:t>
      </w:r>
    </w:p>
    <w:p w14:paraId="08674881">
      <w:pPr>
        <w:spacing w:line="360" w:lineRule="auto"/>
        <w:ind w:firstLine="500" w:firstLineChars="200"/>
        <w:rPr>
          <w:rFonts w:hint="eastAsia" w:ascii="仿宋" w:hAnsi="仿宋" w:eastAsia="仿宋" w:cs="仿宋"/>
          <w:sz w:val="25"/>
          <w:szCs w:val="25"/>
          <w:lang w:eastAsia="zh-CN"/>
        </w:rPr>
      </w:pPr>
      <w:r>
        <w:rPr>
          <w:rFonts w:hint="eastAsia" w:ascii="仿宋" w:hAnsi="仿宋" w:eastAsia="仿宋" w:cs="仿宋"/>
          <w:sz w:val="25"/>
          <w:szCs w:val="25"/>
        </w:rPr>
        <w:t>（3）作业智能查重：比对基础库包含图书、报纸、期刊、网络文档等多种文献类型的数据库；支持选择不同的比对库，可选择全部全文比对库、图书全文比对库、非图书全文比对库、法律法规比对库、自建库等进行检测；每万字的检测需在数秒内完成，并在10分钟内提供检测报告；支持30M以上的TXT、DOC、PDF、DOCX、ZIP、RAR多种格式以及非加密文档的上传检测，支持ZIP、RAR压缩包形式上传（大小需在50M以内）；支持点击选择文件上传文档或者将50字以上、1万字以下的文本直接粘贴到文本框中进行检测；支持根据上传的检测文献生成检测报告，支持查看在线报告，也支持批量下载全部检测报告、批量下载PDF报告；用户可下载PDF报告（简洁报告、全文检测报告）和HTML报告（综合评估、相似片段、全文对比）进行查看和打印，PDF报告和HTML报告均提供相似度检测专用印章；支持查看最密集相似段、密集相似段、非密集相似段；支持按文献类型查看典型相似图书列表、典型相似报纸列表、典型相似期刊列表、典型相似网络文档列表，支持在检测结果中单独查看两两文献的比对结果。</w:t>
      </w:r>
      <w:r>
        <w:rPr>
          <w:rFonts w:hint="eastAsia" w:ascii="仿宋" w:hAnsi="仿宋" w:eastAsia="仿宋" w:cs="仿宋"/>
          <w:sz w:val="25"/>
          <w:szCs w:val="25"/>
          <w:lang w:eastAsia="zh-CN"/>
        </w:rPr>
        <w:t xml:space="preserve"> </w:t>
      </w:r>
    </w:p>
    <w:p w14:paraId="06886ECB">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4）AI试卷质量分析、一键智能换题：支持从题型题量、难易度、知识点覆盖以及题目质量等多个关键维度，对试卷质量进行深入、细致的评估，提供相应建议；支持根据AI推荐知识点给题目一键关联知识点，健全知识图谱建设；老师可以进行AI一键换题操作，快速获取更优质、更合适的题目，提高试卷编撰效率和质量。</w:t>
      </w:r>
    </w:p>
    <w:p w14:paraId="43B86F11">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2.1.3资源解析类AI工具</w:t>
      </w:r>
    </w:p>
    <w:p w14:paraId="23017900">
      <w:pPr>
        <w:spacing w:line="360" w:lineRule="auto"/>
        <w:ind w:firstLine="500" w:firstLineChars="200"/>
        <w:rPr>
          <w:rFonts w:hint="eastAsia" w:ascii="仿宋" w:hAnsi="仿宋" w:eastAsia="仿宋" w:cs="仿宋"/>
          <w:sz w:val="25"/>
          <w:szCs w:val="25"/>
          <w:lang w:eastAsia="zh-CN"/>
        </w:rPr>
      </w:pPr>
      <w:r>
        <w:rPr>
          <w:rFonts w:hint="eastAsia" w:ascii="仿宋" w:hAnsi="仿宋" w:eastAsia="仿宋" w:cs="仿宋"/>
          <w:sz w:val="25"/>
          <w:szCs w:val="25"/>
        </w:rPr>
        <w:t>（1）文献阅读：根据原文内容支持随机生成并显示默认问题，可通过点击默认问题或自定义输入问题查看回复，平台通过匹配向量之间的相似性，支持文字、表格等多种输出格式；支持点击词云查看人物、机构、地名在原文出现次数、页码以及原文信息；通过对原文的分析，支持按照章节提取关键信息，生成摘要列表；通过对原文的分析将复杂的概念和关系可视化，支持按照脑图或markdown格式切换查看；通过对原文的分析，支持按照章节查看系统生成的相关试题，试题可按章节为维度进行筛选；支持原文在线预览，支持目录检索、全文检索。</w:t>
      </w:r>
      <w:r>
        <w:rPr>
          <w:rFonts w:hint="eastAsia" w:ascii="仿宋" w:hAnsi="仿宋" w:eastAsia="仿宋" w:cs="仿宋"/>
          <w:sz w:val="25"/>
          <w:szCs w:val="25"/>
          <w:lang w:eastAsia="zh-CN"/>
        </w:rPr>
        <w:t xml:space="preserve"> </w:t>
      </w:r>
    </w:p>
    <w:p w14:paraId="71837E34">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视频智能分析：支持自定义上传视频，AI智能分析生成“智能速览”，总结视频摘要、片段摘要；智能分析视频中的发言人，按发言人统计发言百分比、发言段落，以时间轴形式展示；根据视频随机生成问题，可通过点击默认问题或自定义输入问题开展机器问答；支持点击词云查看实体出现次数、时间段以及视频文本信息；通过对视频的片段分析将复杂的概念和关系可视化，支持按照脑图或markdown格式切换查看；通过对视频片段的分析，支持按照片段查看系统生成的相关试题；智能生成视频字幕，随视频播放自动轮播，支持对字幕内容二次编辑。</w:t>
      </w:r>
    </w:p>
    <w:p w14:paraId="4F7D7FC7">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智能翻译：支持用户自行上传文件进行双语翻译（文件至少为10MB，且为无加密PDF文件）；支持单语切换，一键切换阅读模式，在开启“同步滑动”的情况下实现页面同步跳转；支持查词定位，原文、译文阅读界面均支持文章内容的精准查找定位，支持高亮显示和大小写区分；支持页码定位，支持用户通过上下滑动进行定位，同时支持输入页码调试定位；支持调整阅读比例，支持自动缩放、实际大小、适合页宽以及100%、125%、150%的页面调整；支持开启划词翻译功能，选中原文、译文文本并翻译；支持演示（全屏）模式。</w:t>
      </w:r>
    </w:p>
    <w:p w14:paraId="260986D5">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2.1.4学情与个性化学习AI工具</w:t>
      </w:r>
    </w:p>
    <w:p w14:paraId="2E816C83">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AI学情分析：支持智能呈现班级整体知识点分析数据，提供个性化学习路径；可查看知识点平均完成率、平均掌握率、完成率分布和掌握率分布等；支持按知识点查看每个知识点的关联学习资源数、平均完成率、平均掌握率、课程资料数、课程资料人均阅读情况等；基于AI学情分析，可由AI生成学情分析画像。</w:t>
      </w:r>
    </w:p>
    <w:p w14:paraId="61F0C51C">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个性化学习路径、智能推送薄弱点及资源：为学生智能化推荐个性化学习路径，呈现路径中各知识点掌握率；基于错题智能推荐薄弱知识点，并优先推送薄弱知识点相关的学习资源（包括课程视频、文档资料、图书期刊、题目练习等），实现薄弱点与资源的智能关联推送。</w:t>
      </w:r>
    </w:p>
    <w:p w14:paraId="4890CA89">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相似题/变式题自动推送练习：根据每个学生的错题和知识点掌握率，自动为学生进行薄弱知识点的辅导，可以根据学生错题和知识点掌握率优先推送薄弱知识点相关的题目；支持生成相似题、变式题的个性化练习。</w:t>
      </w:r>
    </w:p>
    <w:p w14:paraId="55B0210B">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2.1.5AI实践综合系统</w:t>
      </w:r>
    </w:p>
    <w:p w14:paraId="36E7278D">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支持8种AI实践任务类型（情景对话、上传作品、思维阶梯、口语通练、代码编辑、思辨擂台、互动故事、任务链）；语言类场景支持英日法德西俄等多语种对话跟读及发音分析；答题场景支持AI自动生成试题并逐步引导补全维度，生成学习质量评估报告。</w:t>
      </w:r>
    </w:p>
    <w:p w14:paraId="270801C8">
      <w:pPr>
        <w:spacing w:line="360" w:lineRule="auto"/>
        <w:ind w:firstLine="500" w:firstLineChars="200"/>
        <w:rPr>
          <w:rFonts w:hint="eastAsia" w:ascii="仿宋" w:hAnsi="仿宋" w:eastAsia="仿宋" w:cs="仿宋"/>
          <w:sz w:val="25"/>
          <w:szCs w:val="25"/>
          <w:lang w:eastAsia="zh-CN"/>
        </w:rPr>
      </w:pPr>
      <w:r>
        <w:rPr>
          <w:rFonts w:hint="eastAsia" w:ascii="仿宋" w:hAnsi="仿宋" w:eastAsia="仿宋" w:cs="仿宋"/>
          <w:sz w:val="25"/>
          <w:szCs w:val="25"/>
        </w:rPr>
        <w:t>AI实践空间3D沉浸式交互与智能评价：支持基于课程实践主题和智能体配置AI一键生成3D实践场景，学生可360°自主漫游，通过文字/语音与3D智能体开展角色化实践对话（形—声—动一体化），实践完成后AI基于评分规则进行多维度智能评分并输出个性化反馈；支持可视化拖拽布展编辑，内置500+公共素材，可新增答题闯关、知识连线等互动任务。</w:t>
      </w:r>
      <w:r>
        <w:rPr>
          <w:rFonts w:hint="eastAsia" w:ascii="仿宋" w:hAnsi="仿宋" w:eastAsia="仿宋" w:cs="仿宋"/>
          <w:sz w:val="25"/>
          <w:szCs w:val="25"/>
          <w:lang w:eastAsia="zh-CN"/>
        </w:rPr>
        <w:t xml:space="preserve"> </w:t>
      </w:r>
    </w:p>
    <w:p w14:paraId="138E2FA4">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情景对话型AI实践任务：以“情景驱动”为核心的AI互动练习形式，支持教师设置具体情境、任务要求与交互目标，灵活设定学生角色与智能体角色（含性格特点、专业背景），可预设对话背景、对话目标与开场白，引导学生在设定情境中与AI展开多轮对话，逐步推进任务完成；支持文字输入及沉浸式语音通话两种交互方式，智能体根据学生对话内容实时生成符合角色逻辑的回应并模拟情绪变化；平台对对话记录形成量化分析，教师可回溯完整对话轨迹；支持单一学生角色与单一智能体角色双向对话，文字单条消息限1000字符、上下文记忆限100轮次。</w:t>
      </w:r>
    </w:p>
    <w:p w14:paraId="654F6804">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上传作品型AI评估任务：适用于学生提交作品型成果，支持视频类（手术视频、体育视频等）、图片类（设计草图、实验记录图、思维导图等）、文档类（Word报告、PDF论文等）多种格式上传；支持教师在任务中明确作品要求，设置评估角色与评分标准，结合实际教学目标和评分标准，对学生提交内容进行评阅与打分反馈；AI能识别图片中的表格内容和手写体公式，支持多卡片模式实现混合类型同时上传及视频分析；图片限最多10张（单张10M）、视频单个1GB、文档单个10M。</w:t>
      </w:r>
    </w:p>
    <w:p w14:paraId="2C502967">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思维阶梯任务：思维阶梯是一种层层递进的引导式学习任务设计方式，围绕一个核心问题，支持教师预设多个认知维度，学生需逐步作答、逐层推进，答对当前层级的问题后才能解锁下一层；支持选择“阶梯闯关”（客观题主导，单选/多选/判断，每个知识点出一题）和“主干生长”（主观题主导，结合多知识点出开放性论题，以80%以上语义相似度判断正确）两种任务类型；支持模型出题、附件出题、知识库出题、题库出题等多种出题方式；支持设置一个任务中最核心的探究疑问，围绕核心问题拆解考核维度（如知识认知、原理推导、操作实践等），一个任务至少1个至多5个考核维度，每个维度至少1个至多5个知识点；支持“简单、较为简单、适中、较为困难、困难”五个难度等级；任务路径、知识图谱、学习质量评估报告可视化展示。</w:t>
      </w:r>
    </w:p>
    <w:p w14:paraId="14B46E67">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4）口语通练多语种对话实训：口语通练是一种基于AI对话的实践任务，围绕外语学习场景实现听、说、练一体，结合大语言模型和专用发音测评模型进行多维度评价，对学生理解、表达、听力、发音能力进行全方位锻炼；支持外语对话（仅录音作答、录音留存、无打断柔和语法提醒、提示功能含上一句翻译和中外对照回复建议、支持隐藏AI输出文本进行听力特训）、外语单词跟读（支持英日法德西俄等语种，AI一键补充释义和标准发音，专用发音测评模型打分）、普通话训练（支持普通话词语跟读，检测声母韵母发音准确度和声调准确性）三种模式；学生仅支持手机端作答。</w:t>
      </w:r>
    </w:p>
    <w:p w14:paraId="177F2D58">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5）代码编辑实践任务：适用于编程教学，支持教师自由选择开放练习模式（无固定用例输入输出）和完成题目模式（结合编程题目综合考查），灵活设置评分标准（如语法规范、逻辑完整性等）；学生编写代码时可自主运行调试，提交后获得AI实时代码反馈，包括代码诊断（报错分析、优化建议）和思维启发（多种实现思路引导），根据AI反馈反复修改代码，获得客观、精细的编程能力评估；平台记录每次最终提交代码及评估结果，教师可通过数据洞察学生在语法、逻辑构建等方面的共性问题，精准调整教学策略，实现编程教学中练习－反馈－改进的教育闭环。</w:t>
      </w:r>
    </w:p>
    <w:p w14:paraId="1BFD4C20">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6）思辨擂台实践任务：“思辨擂台”是一种新型的思辨训练实践任务，教师可围绕某一主题设定辩论任务，自定义辩题名称、正反方观点、评分标准与对话轮次，学生既可自主选择立场也可由教师指定；任务开始后学生与AI智能体展开实时辩论，各自围绕所选观点进行立论、论证、举证与反驳，通过多轮对话逐步深化和升级观点；支持将智能体回应进行语音播报，提升沉浸感与听辨训练；辩论结束后系统依据教师预先设定的评分标准由AI对学生整体表现进行多维度综合评估并给出结果，关注观点形成与推理过程而非简单结论，帮助学生提升逻辑思维能力、证据意识和多角度分析问题的能力。</w:t>
      </w:r>
    </w:p>
    <w:p w14:paraId="2CB8F492">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7）互动故事实践任务：互动故事是教学向的“AI剧本杀”式实践任务，教师可设定故事角色、章节剧情、完成条件等，将学科知识点转化为可互动的教学剧情，学生通过与故事中不同AI角色对话还原各类真实专业场景，在沉浸式体验中深化知识理解与应用；支持多AI角色沉浸式对话，学生扮演剧情角色，其他角色由AI智能体操控，通过对话推进剧情；支持将章节节点以不同完成条件与其他章节串联，构建丰富的剧情分支，并支持给不同的章节完成路径添加成就卡；学生与智能体的不同对话可触发不同剧情走向，支持反复体验探索不同剧情线；为教师提供“AI对话辅助+可视化编辑”的便捷创作工具，降低剧情创作门槛；适用于商务谈判/跨部门沟通实训、临床问诊/医患沟通/多学科会诊等场景。</w:t>
      </w:r>
    </w:p>
    <w:p w14:paraId="27B15054">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8）任务链实践任务：任务链是把多个AI实践任务按教学流程组织起来的工具，核心价值是将“单次练习”变成“连续实践”；支持教师将多个AI实践任务节点串成一条连续学习路径，同一任务链中可同时包含情景对话节点和上传作品节点等不同类型任务，学生在不同节点完成不同形式练习；支持为节点设置完成条件，学生满足条件后进入后续节点，条件既可控制任务是否完成，也可用于形成不同后续路径/分支，学生因不同表现进入不同节点；支持节点记忆传递，上游节点产生的结果可作为“节点记忆”传递给下游节点（如学生上传的作品内容可作为下游对话节点参考，让后续AI角色基于该作品继续互动）；任务链中每个节点产生各自评价结果，任务链结束后系统基于学生实际完成过的节点生成最终综合评价；情景对话节点支持配置任务名称、出场角色、记忆输入、任务要求、剧情内容、开场白、情景提示、评分标准、完成条件等；支持任务链角色库和课程角色库管理，教师端使用流程包括新建任务链、添加/维护角色库、添加任务节点、连接节点形成学生路径、配置节点记忆输入、配置最终评估标准、保存并发布等七步。</w:t>
      </w:r>
    </w:p>
    <w:p w14:paraId="11E2BE28">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（9）知识库支撑AI自动生成阶梯试题：支持选定知识库后，AI大模型将从该知识库中匹配相关内容，并结合核心问题、考核维度、知识点作为出题依据。</w:t>
      </w:r>
    </w:p>
    <w:p w14:paraId="38B0474C">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（10）任务完成质量自动评估报告生成：任务结束后，可生成学习质量评估报告，报告包含本次任务得分、各维度学习情况、高频错误知识点、学习建议及相关资源。</w:t>
      </w:r>
    </w:p>
    <w:p w14:paraId="43C09E3A">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2.2能力导向任务引擎教学系统</w:t>
      </w:r>
    </w:p>
    <w:p w14:paraId="6E74BC59">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2.2.1任务基础配置管理</w:t>
      </w:r>
    </w:p>
    <w:p w14:paraId="513B019B">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（1）AI自动生成任务：支持AI生成任务，提高老师任务创建效率；支持按照章节、教案、文本三种方式AI生成任务基本信息和任务点内容，简化老师任务设计工作。</w:t>
      </w:r>
    </w:p>
    <w:p w14:paraId="2E63AFCF">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17种全类型任务点配置：支持新建、编辑、发布、管理和删除任务，并对任务数据进行自定义排序、指定、创建文件夹进行归纳。支持点击新建任务跳转至任务编辑页面，进行基本信息编辑和任务设计工作；支持编辑任务基本信息，包括任务名称、任务封面、任务介绍和选择任务标签。支持切换标签页跳转任务设计页面，添加分组，添加任务点和设置闯关达标条件。支持在任务的分组下添加任务点，任务点类型包括视频、文档、课程、章节、知识点、线下课堂、线上课堂、主题讨论、AI实践、作业、测验、自测、问卷、审批、任务、自定义等17种类型；支持直接添加当前课下资源和当前登录用户的其他课程资源到任务下，同时支持点击添加跳转到指定页面进行资源添加；针对视频、文档、线上课堂、线下课堂、主题讨论、问卷、审批、自定义类型任务点，增加“成绩”按钮，方便教师录入线下教学成绩；针对自定义类型任务点，增加“签到”按钮，方便老师发放签到给学生。</w:t>
      </w:r>
    </w:p>
    <w:p w14:paraId="23705F57">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2.2.2闯关与分层教学配置</w:t>
      </w:r>
    </w:p>
    <w:p w14:paraId="643B2D62">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（1）任务点单关卡、分组组间闯关条件设置：支持在任务点上设置闯关条件，学生需要达到任务点设置的完成条件才能够学习下一个任务点，不同类型任务点闯关条件不同。</w:t>
      </w:r>
    </w:p>
    <w:p w14:paraId="57CFCE70">
      <w:pPr>
        <w:spacing w:line="360" w:lineRule="auto"/>
        <w:ind w:firstLine="500" w:firstLineChars="200"/>
        <w:rPr>
          <w:rFonts w:hint="eastAsia" w:ascii="仿宋" w:hAnsi="仿宋" w:eastAsia="仿宋" w:cs="仿宋"/>
          <w:sz w:val="25"/>
          <w:szCs w:val="25"/>
          <w:lang w:eastAsia="zh-CN"/>
        </w:rPr>
      </w:pPr>
      <w:r>
        <w:rPr>
          <w:rFonts w:hint="eastAsia" w:ascii="仿宋" w:hAnsi="仿宋" w:eastAsia="仿宋" w:cs="仿宋"/>
          <w:sz w:val="25"/>
          <w:szCs w:val="25"/>
        </w:rPr>
        <w:t>（2）任务高阶分层闯关、选学任务开关配置：支持在任务分组上设置组间闯关条件，学生需要达到组间闯关设置的完成条件后才能够学习下个分组。支持针对单个任务点设置“是否选学”开关，开启后学生可自主决定是否学习，同时学习成绩不作任务闯关和任务达标的参考项。支持针对任务点开启高阶闯关模式，使不同成绩学生后续学习的内容不一样，满足教师个性化教学的场景。</w:t>
      </w:r>
      <w:r>
        <w:rPr>
          <w:rFonts w:hint="eastAsia" w:ascii="仿宋" w:hAnsi="仿宋" w:eastAsia="仿宋" w:cs="仿宋"/>
          <w:sz w:val="25"/>
          <w:szCs w:val="25"/>
          <w:lang w:eastAsia="zh-CN"/>
        </w:rPr>
        <w:t xml:space="preserve"> </w:t>
      </w:r>
    </w:p>
    <w:p w14:paraId="719FF938">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任务达标标准、电子证书自动发放：支持在任务设计上设置达标标准，学生完成达标标准后整个任务学习完成，学生可以领取相应的任务达标证书。任务设置发放证书后，任务达标后支持点击证书按钮进行证书查看、下载操作。</w:t>
      </w:r>
    </w:p>
    <w:p w14:paraId="2A161867">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2.2.3PBL分组教学支撑</w:t>
      </w:r>
    </w:p>
    <w:p w14:paraId="336C59DC">
      <w:pPr>
        <w:spacing w:line="360" w:lineRule="auto"/>
        <w:ind w:firstLine="500" w:firstLineChars="200"/>
        <w:rPr>
          <w:rFonts w:hint="eastAsia" w:ascii="仿宋" w:hAnsi="仿宋" w:eastAsia="仿宋" w:cs="仿宋"/>
          <w:sz w:val="25"/>
          <w:szCs w:val="25"/>
          <w:lang w:eastAsia="zh-CN"/>
        </w:rPr>
      </w:pPr>
      <w:r>
        <w:rPr>
          <w:rFonts w:hint="eastAsia" w:ascii="仿宋" w:hAnsi="仿宋" w:eastAsia="仿宋" w:cs="仿宋"/>
          <w:sz w:val="25"/>
          <w:szCs w:val="25"/>
        </w:rPr>
        <w:t>（1）多模式分组：任务中可插入PBL教学，支持开展分组教学活动，支持多种分组方式，包含固定分组、自选分组、组长建组、随机分组、面对面建组、不分组等分组方式。</w:t>
      </w:r>
      <w:r>
        <w:rPr>
          <w:rFonts w:hint="eastAsia" w:ascii="仿宋" w:hAnsi="仿宋" w:eastAsia="仿宋" w:cs="仿宋"/>
          <w:sz w:val="25"/>
          <w:szCs w:val="25"/>
          <w:lang w:eastAsia="zh-CN"/>
        </w:rPr>
        <w:t xml:space="preserve"> </w:t>
      </w:r>
    </w:p>
    <w:p w14:paraId="1825992C">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（2）自评/组内/组间/教师多元评价：活动支持教师评价、组内评价、组间评价、自评等多种评价相结合，支持分项评分指标设置。</w:t>
      </w:r>
    </w:p>
    <w:p w14:paraId="4B24CFC6">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2.2.4任务发布、克隆、报名审批管理</w:t>
      </w:r>
    </w:p>
    <w:p w14:paraId="2FD6CE96">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用户完成任务设计后，支持点击发布按钮，支持任务选择班级、分组、个人进行任务发布工作；支持任务随课程一起克隆给自己或克隆给他人两种方式，提高任务的复用性；支持针对任务进行报名设置工作，教师可以选择开启报名、报名需要填写信息、报名需要审批三种方式，邀请学生报名任务，同时支持查看报名信息；任务引擎支持选课功能，支持教师选择部分资源作为任务包进行发布，学生选择部分任务点进行选择性学习。</w:t>
      </w:r>
    </w:p>
    <w:p w14:paraId="1CA7B965">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2.2.5任务督学批量提醒</w:t>
      </w:r>
    </w:p>
    <w:p w14:paraId="78CF28B2">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学情分析页面展示学生、任务点数据和概览统计情况；支持督学，有督学和批量督学按钮，支持针对不满足学习进度的学生、单个学生、多个学生进行发放督学通知，督促学生学习。</w:t>
      </w:r>
    </w:p>
    <w:p w14:paraId="605A527F">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2.3多端课堂交互应用</w:t>
      </w:r>
    </w:p>
    <w:p w14:paraId="40B2690B">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2.3.1教室端超级黑板系统</w:t>
      </w:r>
    </w:p>
    <w:p w14:paraId="7E3B3CD7">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跨网PPT投屏、激光笔、白板、计时器：需支持专用教室端功能，支持跨网络投屏，无需同一局域网即可实现投屏操作；投屏内容涵盖PPT、课程章节、笔记、专题、文档等资料，支持平台资源在线搜索并一键投屏至教室大屏；投屏过程中可通过手机端实现翻页、激光笔、聚光灯等控制操作；须具备完善的PPT演示能力，投屏时保留动画效果且播放流畅；支持计时器、白板、学生反馈等辅助教学工具，可实现PPT与教学活动内容分屏展示。</w:t>
      </w:r>
    </w:p>
    <w:p w14:paraId="4A22D714">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签到、抢答、选人、问卷、随堂练习互动：教师可基于投屏开展签到、选人、抢答等教学互动，并实时展示互动结果；可发布同步课堂活动，学生可在不同地点上课并进行课程互动，可以同步录制教师的教学过程，包括板书、课件、讲课声音等，下课后自动保存到平台。</w:t>
      </w:r>
    </w:p>
    <w:p w14:paraId="661EA56C">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2.3.1PC课程门户应用</w:t>
      </w:r>
    </w:p>
    <w:p w14:paraId="76CADCFE">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（1）PC门户自定义模块布局：支持用户自定义模块布局，支持调整同一模块内不同栏目的位置，支持用户自定义对页面背景、音乐、主题色及简体或繁体字的转换设置。</w:t>
      </w:r>
    </w:p>
    <w:p w14:paraId="083C46B0">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图谱、AI展厅、教学成果统一展示：课程门户展示课程整体建设内容，支持对课程门户进行二次编辑，支持编辑课程简介，展示课程所属院校、专业、教师团队详情等信息；支持展示虚拟展厅建设内容，可进入虚拟展厅浏览，与智能体交互；支持图谱2D/3D模式切换、全屏播放及页面缩放。</w:t>
      </w:r>
    </w:p>
    <w:p w14:paraId="532E755D">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2.3.2移动端全教学应用</w:t>
      </w:r>
    </w:p>
    <w:p w14:paraId="378BF3C3">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（1）三端（iOS/Android/鸿蒙）同步：支持专门的APP移动学习平台，须具备iOS、Android、鸿蒙系统，与网络教学平台数据同步。</w:t>
      </w:r>
    </w:p>
    <w:p w14:paraId="323CBD31">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移动端提供图谱模式、大纲模式和学习地图模式，方便学生利用碎片化时间进行学习；可在移动端组织教学内容，有序安排资料推送、签到、问答、抢答、投票等教学活动，可实现互动内容在课堂发放并复用；可基于课程形成师生互动交流群，进行实时通讯；教师可以通过手机在课程中发布考试试卷和查看考试分项统计结果，学生同样可以通过移动端进行在线考试和查看考试信息；可以在移动客户端选择给指定的人发送通知，并统计已读和未读名单，须具备未读提醒，与pc端无缝对接；需支持手机端、电脑端发起视频直播，学生可以通过手机观看直播并留言；移动端门户配置须具备系统对移动端APP的门户进行配置的功能，模拟手机界面采用可视化拖拽的形式添加如图片、检索、推荐等功能，具备根据不同身份的用户配置不同的移动端APP门户界面的功能。</w:t>
      </w:r>
    </w:p>
    <w:p w14:paraId="1F053A5B">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2.4学生个性化学习应用</w:t>
      </w:r>
    </w:p>
    <w:p w14:paraId="3E6BB46D">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（1）知识点自测、仅前置知识点定向抽题：支持学生按知识点从题库或错题本抽题，逐题自测；支持学生自测时可以设置抽题范围，仅抽当前知识点以及前置知识点的题，避免抽到未开始学习的知识点试题。</w:t>
      </w:r>
    </w:p>
    <w:p w14:paraId="5F351F23">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图书/期刊/论文智能拓展资源推荐：学生端可以查看推荐资源，进行拓展学习，推荐资源应基于知识点智能推荐课程、资源、课程思政资源、题目、论文、期刊、图书、互联网资源等；支持查询图书、期刊等文献，根据用户输入问题推荐相关文献，图书、期刊等推荐文献支持通过在线查看原文、文献传递等途径获取。</w:t>
      </w:r>
    </w:p>
    <w:p w14:paraId="21FD77F8">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2.5个性化智能体</w:t>
      </w:r>
    </w:p>
    <w:p w14:paraId="6594D354">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2.5.1课程专属AI助教智能体训练</w:t>
      </w:r>
    </w:p>
    <w:p w14:paraId="1858DA80">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供应商提供训练后的AI助教，可提供问答与资源推荐；须具备课程专属智能体训练，可建设课程问答库，涵盖常见问题、重点难点问题与拓展性问题，为教师与学生进行及时问题回复，问答库应具备智能检索与语义理解，提升答疑效率与精准度。</w:t>
      </w:r>
    </w:p>
    <w:p w14:paraId="6FB7E45A">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三、数据驱动教学治理</w:t>
      </w:r>
    </w:p>
    <w:p w14:paraId="3E74ECBD">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3.1全流程教学数据采集体系</w:t>
      </w:r>
    </w:p>
    <w:p w14:paraId="2A8A5D3F">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课程建设类数据采集，可实现课程数据总览展示课程的基础数据、教学建设、AI使用、学习监控、课堂报告等数据；学生学习行为数据采集，可分别从视频观看时长、章节进度、任务点完成、讨论发帖、作业提交、考试成绩等方面跟踪记录并统计每个学生的学习进度、学习资料浏览详情、作业和测试完成情况、视频观看详情、参加答疑讨论情况等多项学习考核指标；教师教学行为数据采集可统计教师教学运行数据包含任务点/章节测验、作业/考试、课堂活动、互动讨论、教师教学数据，可按院系、课程两种维度，支持按不同时间维度查看教学数据、资源建设数据、签到等活动数据；资源建设统计展示上传资源总量、创建题目数、创建作业数、创建试卷数、资源上传趋势图、各类型资源上传量、各类型题目创建量等。</w:t>
      </w:r>
    </w:p>
    <w:p w14:paraId="0C1AD2D7">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3.2知识图谱专项数据分析</w:t>
      </w:r>
    </w:p>
    <w:p w14:paraId="57599AAE">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知识点建设完成度、资源关联统计可展示知识点建设率、知识点总数、关联资源数、标签数等；可进行班级知识点完成率/掌握率对比分析，可实现知识点热度排行榜、词云可视化，支持学生/班级知识掌握画像自动生成，支持图谱资源分布统计、课程群所包含的每门课程的资源总数及资源分布情况统计。</w:t>
      </w:r>
    </w:p>
    <w:p w14:paraId="1ACEAF66">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3.3AI智能数据分析工具集</w:t>
      </w:r>
    </w:p>
    <w:p w14:paraId="36DDA8ED">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支持院系/班级/课程多维度数据自由查询，通过AI智能体自定义查询，获取指定时间范围、学校院系范围的数据统计结果；AI数据报告功能通过AI智能体开展主题分析并智能生成分析报告；支持用户自定义报告分析主题，由AI智能构建报告大纲；大纲经用户调整确认后，生成专业分析报告；以文本/统计图/数据表多形式呈现、导出PDF；生成的数据报告支持保存为模板，可重复使用；支持用户通过智能体对话或自建数据表模板的方式生成报表。</w:t>
      </w:r>
    </w:p>
    <w:p w14:paraId="639448B5">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3.4多元智慧教学评价体系</w:t>
      </w:r>
    </w:p>
    <w:p w14:paraId="78CC16D0">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3.4.1过程性评价数据归集</w:t>
      </w:r>
    </w:p>
    <w:p w14:paraId="3D452354">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任务、课堂互动、讨论、作业、视频学习全维度记录；具备筛选展示整个课程的课堂活动开展情况、签到情况、课堂回顾的功能，可筛选不同日期课堂报告并导出；过程考核分析需展示各分数区间学生分布，按院系、课程以柱状图呈现平均分及排行。</w:t>
      </w:r>
    </w:p>
    <w:p w14:paraId="5FB9B6C6">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3.4.2AI自动生成班级/学生学情画像</w:t>
      </w:r>
    </w:p>
    <w:p w14:paraId="2DACE8E1">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支持用户画像以教师、学生、课程三个维度展示全校整体数据；教师画像支持切换不同学期与累计数据，以标签、雷达图呈现整体概况，课堂互动排行等数据；学生画像需支持切换学期与累计数据显示，展示整体情况、上线趋势、签到率等数据；课程画像需支持学期与累计数据切换，可进入课程列表，需展示整体概况、课堂活动、课程建设等数据，可按课程质量排名和PV值展示列表，可查看单门课程画像。</w:t>
      </w:r>
    </w:p>
    <w:p w14:paraId="07D61D17">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3.4.3多主体评价（自评/互评/师评）权重配置</w:t>
      </w:r>
    </w:p>
    <w:p w14:paraId="38FEBD1E">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活动支持教师评价、组内评价、组间评价、自评等多种评价相结合，支持分项评分指标设置；课程成绩权重支持分组任务明细分配，不同活动可设置不同考核权重；评价（自评/互评/教师评+权重）。</w:t>
      </w:r>
    </w:p>
    <w:p w14:paraId="60CA1A0D">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3.5教学预警与精准督学应用</w:t>
      </w:r>
    </w:p>
    <w:p w14:paraId="0E48D7F1">
      <w:pPr>
        <w:spacing w:line="360" w:lineRule="auto"/>
        <w:ind w:firstLine="500" w:firstLineChars="200"/>
        <w:rPr>
          <w:rFonts w:hint="eastAsia" w:ascii="仿宋" w:hAnsi="仿宋" w:eastAsia="仿宋" w:cs="仿宋"/>
          <w:sz w:val="25"/>
          <w:szCs w:val="25"/>
        </w:rPr>
      </w:pPr>
      <w:r>
        <w:rPr>
          <w:rFonts w:hint="eastAsia" w:ascii="仿宋" w:hAnsi="仿宋" w:eastAsia="仿宋" w:cs="仿宋"/>
          <w:sz w:val="25"/>
          <w:szCs w:val="25"/>
        </w:rPr>
        <w:t>支持学习进度、成绩、知识点薄弱预警规则配置，单人/批量督学通知一键下发，支持AI学情分析中根据平台学生整体学习数据及专项数据，或者上传excel文档，教师可自定义分析维度，AI自动进行学生学情分析并进行建议提醒。</w:t>
      </w:r>
    </w:p>
    <w:p w14:paraId="6A1ADAE7">
      <w:pPr>
        <w:spacing w:line="360" w:lineRule="auto"/>
        <w:ind w:firstLine="500" w:firstLineChars="200"/>
        <w:rPr>
          <w:rFonts w:hint="default" w:ascii="仿宋" w:hAnsi="仿宋" w:eastAsia="仿宋" w:cs="仿宋"/>
          <w:sz w:val="25"/>
          <w:szCs w:val="25"/>
          <w:lang w:val="en-US" w:eastAsia="zh-CN"/>
        </w:rPr>
      </w:pPr>
      <w:r>
        <w:rPr>
          <w:rFonts w:hint="eastAsia" w:ascii="仿宋" w:hAnsi="仿宋" w:eastAsia="仿宋" w:cs="仿宋"/>
          <w:sz w:val="25"/>
          <w:szCs w:val="25"/>
          <w:lang w:val="en-US" w:eastAsia="zh-CN"/>
        </w:rPr>
        <w:t>3.6智慧课程运行演示项（供应商需提供演示U盘）</w:t>
      </w:r>
    </w:p>
    <w:p w14:paraId="36D02C22">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3.6.1.智慧课程单元内容建设采用富文本（媒体）编辑器：</w:t>
      </w:r>
    </w:p>
    <w:p w14:paraId="489B3B5C">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①编辑器包含云盘、视频、图片、文档、测验、讨论、投票、问卷、代码块、图书、图书内页、扩展阅读、动画、录音、直播等组件；全部满足得2分，否则不得分。</w:t>
      </w:r>
    </w:p>
    <w:p w14:paraId="0087FEB8">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②其中扩展阅读组件可以根据一个关键词自动生成相关知识点的知识树，插入到课程单元中，并自动推送知识点相关的图书、期刊、论文等资料。</w:t>
      </w:r>
    </w:p>
    <w:p w14:paraId="7C0E5067">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3.6.2智慧课程支持学习地图、知识图谱、知识列表、问题图谱、目标图谱、思政图谱等多种形式的展示。并支持自主添加知识图谱，自主添加时提供不少于8种形式供选择，满足灵活的课程内容可视化展示需要。</w:t>
      </w:r>
    </w:p>
    <w:p w14:paraId="13F2D76C">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3.6.3智慧课程支持移动端运行服务，学生基于移动端APP可查看图谱模式和大纲模式。在满足基本指标的基础上，图谱模式下可全局查看整门课程的知识图谱，点击其中具体知识点，可查看知识点完成率、掌握率、关联学习内容、作业考试、课程资料、错题集等。</w:t>
      </w:r>
    </w:p>
    <w:p w14:paraId="4B47728C">
      <w:pPr>
        <w:spacing w:line="360" w:lineRule="auto"/>
        <w:ind w:firstLine="500" w:firstLineChars="200"/>
        <w:rPr>
          <w:rFonts w:hint="default" w:ascii="仿宋" w:hAnsi="仿宋" w:eastAsia="仿宋" w:cs="仿宋"/>
          <w:sz w:val="25"/>
          <w:szCs w:val="25"/>
          <w:lang w:val="en-US" w:eastAsia="zh-CN"/>
        </w:rPr>
      </w:pPr>
      <w:r>
        <w:rPr>
          <w:rFonts w:hint="eastAsia" w:ascii="仿宋" w:hAnsi="仿宋" w:eastAsia="仿宋" w:cs="仿宋"/>
          <w:sz w:val="25"/>
          <w:szCs w:val="25"/>
          <w:lang w:val="en-US" w:eastAsia="zh-CN"/>
        </w:rPr>
        <w:t>3.6.4智慧课程支持AI试卷质量分析，从题型题量、难易度、知识点覆盖以及题目质量等多个关键维度，对试卷质量进行分析提供相应建议。教师可以根据AI推荐知识点，给题目一键关联知识点，健全知识图谱建设；可以进行AI一键换题操作，快速获取更优质、更合适的题目，提高试卷编撰效率和质量。</w:t>
      </w:r>
    </w:p>
    <w:p w14:paraId="23510FCD">
      <w:pPr>
        <w:rPr>
          <w:rFonts w:hint="eastAsia" w:ascii="仿宋" w:hAnsi="仿宋" w:eastAsia="仿宋" w:cs="仿宋"/>
          <w:sz w:val="25"/>
          <w:szCs w:val="25"/>
        </w:rPr>
      </w:pPr>
      <w:r>
        <w:rPr>
          <w:rFonts w:hint="eastAsia" w:ascii="仿宋" w:hAnsi="仿宋" w:eastAsia="仿宋" w:cs="仿宋"/>
          <w:sz w:val="25"/>
          <w:szCs w:val="25"/>
        </w:rPr>
        <w:br w:type="page"/>
      </w:r>
    </w:p>
    <w:p w14:paraId="5AD0024F">
      <w:pPr>
        <w:pStyle w:val="8"/>
        <w:numPr>
          <w:ilvl w:val="0"/>
          <w:numId w:val="1"/>
        </w:numPr>
        <w:spacing w:line="240" w:lineRule="atLeast"/>
        <w:rPr>
          <w:rFonts w:hint="default" w:ascii="仿宋" w:hAnsi="仿宋" w:eastAsia="仿宋" w:cs="Times New Roman"/>
          <w:bCs w:val="0"/>
          <w:sz w:val="30"/>
          <w:szCs w:val="30"/>
          <w:lang w:val="en-US"/>
        </w:rPr>
      </w:pPr>
      <w:r>
        <w:rPr>
          <w:rFonts w:hint="eastAsia" w:ascii="仿宋" w:hAnsi="仿宋" w:eastAsia="仿宋" w:cs="Times New Roman"/>
          <w:bCs w:val="0"/>
          <w:sz w:val="30"/>
          <w:szCs w:val="30"/>
          <w:lang w:val="en-US" w:eastAsia="zh-CN"/>
        </w:rPr>
        <w:t>公司资质及商务要求</w:t>
      </w:r>
    </w:p>
    <w:p w14:paraId="02290887">
      <w:pPr>
        <w:spacing w:line="360" w:lineRule="auto"/>
        <w:ind w:firstLine="502" w:firstLineChars="200"/>
        <w:rPr>
          <w:rFonts w:hint="eastAsia" w:ascii="仿宋" w:hAnsi="仿宋" w:eastAsia="仿宋" w:cs="仿宋"/>
          <w:b/>
          <w:bCs/>
          <w:sz w:val="25"/>
          <w:szCs w:val="25"/>
          <w:lang w:val="en-US" w:eastAsia="zh-CN"/>
        </w:rPr>
      </w:pPr>
      <w:r>
        <w:rPr>
          <w:rFonts w:hint="eastAsia" w:ascii="仿宋" w:hAnsi="仿宋" w:eastAsia="仿宋" w:cs="仿宋"/>
          <w:b/>
          <w:bCs/>
          <w:sz w:val="25"/>
          <w:szCs w:val="25"/>
          <w:lang w:val="en-US" w:eastAsia="zh-CN"/>
        </w:rPr>
        <w:t>3.1售后服务</w:t>
      </w:r>
    </w:p>
    <w:p w14:paraId="5E35A395">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3.1.1本服务项目经过验收，并且验收合格后，办理移交手续之日起1年内属于免费质量保证期。在质保期期间，成交供应商负责免费维护服务。质量保证期期满后，成交供应商继续为采购人提供专业服务，由此发生的相关服务费用由采购人承担；成交供应商应给出质保期结束之后对所提供的课程的服务支持方式和收费标准。</w:t>
      </w:r>
    </w:p>
    <w:p w14:paraId="3C5AAC11">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3.1.2响应时间：提供7x12小时售后服务热线；在接到采购人通知服务能随时响应。若运用通讯工具不能解决问题，必须在12小时之内到达现场予以解决。</w:t>
      </w:r>
    </w:p>
    <w:p w14:paraId="56643612">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3.1.3技术服务：自最终验收合格之日起3日内，成交供应商必须将所有相关技术资料交采购人留存备案。</w:t>
      </w:r>
    </w:p>
    <w:p w14:paraId="5E6E94B3">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3.1.4成交供应商必须对其所提供的相关技术进行免费现场培训，以满足使用单位在日常使用、操作等方面的需求。因培训而产生的一切费用均由成交单位承担。</w:t>
      </w:r>
    </w:p>
    <w:p w14:paraId="12A4129C">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3.1.5成交供应商的其它售后服务承诺属于本合同的一部分，如果有不同约定的，以服务水平和层级更高的为准。</w:t>
      </w:r>
    </w:p>
    <w:p w14:paraId="55E6284F">
      <w:pPr>
        <w:spacing w:line="360" w:lineRule="auto"/>
        <w:ind w:firstLine="502" w:firstLineChars="200"/>
        <w:rPr>
          <w:rFonts w:hint="eastAsia" w:ascii="仿宋" w:hAnsi="仿宋" w:eastAsia="仿宋" w:cs="仿宋"/>
          <w:b/>
          <w:bCs/>
          <w:sz w:val="25"/>
          <w:szCs w:val="25"/>
          <w:lang w:val="en-US" w:eastAsia="zh-CN"/>
        </w:rPr>
      </w:pPr>
      <w:r>
        <w:rPr>
          <w:rFonts w:hint="eastAsia" w:ascii="仿宋" w:hAnsi="仿宋" w:eastAsia="仿宋" w:cs="仿宋"/>
          <w:b/>
          <w:bCs/>
          <w:sz w:val="25"/>
          <w:szCs w:val="25"/>
          <w:lang w:val="en-US" w:eastAsia="zh-CN"/>
        </w:rPr>
        <w:t>3.2付款方式：</w:t>
      </w:r>
    </w:p>
    <w:p w14:paraId="58F26F53">
      <w:pPr>
        <w:spacing w:line="360" w:lineRule="auto"/>
        <w:ind w:firstLine="500" w:firstLineChars="200"/>
        <w:rPr>
          <w:rFonts w:hint="default" w:ascii="仿宋" w:hAnsi="仿宋" w:eastAsia="仿宋" w:cs="仿宋"/>
          <w:sz w:val="25"/>
          <w:szCs w:val="25"/>
          <w:lang w:val="en-US" w:eastAsia="zh-CN"/>
        </w:rPr>
      </w:pPr>
      <w:r>
        <w:rPr>
          <w:rFonts w:hint="eastAsia" w:ascii="仿宋" w:hAnsi="仿宋" w:eastAsia="仿宋" w:cs="仿宋"/>
          <w:sz w:val="25"/>
          <w:szCs w:val="25"/>
          <w:lang w:val="en-US" w:eastAsia="zh-CN"/>
        </w:rPr>
        <w:t>自合同签订之日起三个月内采购人应向成交供应商支付合同总价的80%，项目完成后</w:t>
      </w:r>
      <w:r>
        <w:rPr>
          <w:rFonts w:hint="default" w:ascii="仿宋" w:hAnsi="仿宋" w:eastAsia="仿宋" w:cs="仿宋"/>
          <w:sz w:val="25"/>
          <w:szCs w:val="25"/>
          <w:lang w:val="en-US" w:eastAsia="zh-CN"/>
        </w:rPr>
        <w:t>，</w:t>
      </w:r>
      <w:r>
        <w:rPr>
          <w:rFonts w:hint="eastAsia" w:ascii="仿宋" w:hAnsi="仿宋" w:eastAsia="仿宋" w:cs="仿宋"/>
          <w:sz w:val="25"/>
          <w:szCs w:val="25"/>
          <w:lang w:val="en-US" w:eastAsia="zh-CN"/>
        </w:rPr>
        <w:t>由</w:t>
      </w:r>
      <w:r>
        <w:rPr>
          <w:rFonts w:hint="default" w:ascii="仿宋" w:hAnsi="仿宋" w:eastAsia="仿宋" w:cs="仿宋"/>
          <w:sz w:val="25"/>
          <w:szCs w:val="25"/>
          <w:lang w:val="en-US" w:eastAsia="zh-CN"/>
        </w:rPr>
        <w:t>采购人验收通过后</w:t>
      </w:r>
      <w:r>
        <w:rPr>
          <w:rFonts w:hint="eastAsia" w:ascii="仿宋" w:hAnsi="仿宋" w:eastAsia="仿宋" w:cs="仿宋"/>
          <w:sz w:val="25"/>
          <w:szCs w:val="25"/>
          <w:lang w:val="en-US" w:eastAsia="zh-CN"/>
        </w:rPr>
        <w:t>一个月内</w:t>
      </w:r>
      <w:r>
        <w:rPr>
          <w:rFonts w:hint="default" w:ascii="仿宋" w:hAnsi="仿宋" w:eastAsia="仿宋" w:cs="仿宋"/>
          <w:sz w:val="25"/>
          <w:szCs w:val="25"/>
          <w:lang w:val="en-US" w:eastAsia="zh-CN"/>
        </w:rPr>
        <w:t>支付合同总价</w:t>
      </w:r>
      <w:r>
        <w:rPr>
          <w:rFonts w:hint="eastAsia" w:ascii="仿宋" w:hAnsi="仿宋" w:eastAsia="仿宋" w:cs="仿宋"/>
          <w:sz w:val="25"/>
          <w:szCs w:val="25"/>
          <w:lang w:val="en-US" w:eastAsia="zh-CN"/>
        </w:rPr>
        <w:t>15</w:t>
      </w:r>
      <w:r>
        <w:rPr>
          <w:rFonts w:hint="default" w:ascii="仿宋" w:hAnsi="仿宋" w:eastAsia="仿宋" w:cs="仿宋"/>
          <w:sz w:val="25"/>
          <w:szCs w:val="25"/>
          <w:lang w:val="en-US" w:eastAsia="zh-CN"/>
        </w:rPr>
        <w:t>%，</w:t>
      </w:r>
      <w:r>
        <w:rPr>
          <w:rFonts w:hint="eastAsia" w:ascii="仿宋" w:hAnsi="仿宋" w:eastAsia="仿宋" w:cs="仿宋"/>
          <w:sz w:val="25"/>
          <w:szCs w:val="25"/>
          <w:lang w:val="en-US" w:eastAsia="zh-CN"/>
        </w:rPr>
        <w:t>质保</w:t>
      </w:r>
      <w:r>
        <w:rPr>
          <w:rFonts w:hint="default" w:ascii="仿宋" w:hAnsi="仿宋" w:eastAsia="仿宋" w:cs="仿宋"/>
          <w:sz w:val="25"/>
          <w:szCs w:val="25"/>
          <w:lang w:val="en-US" w:eastAsia="zh-CN"/>
        </w:rPr>
        <w:t>期满一年后一个月内支付合同总价5%。</w:t>
      </w:r>
    </w:p>
    <w:p w14:paraId="781F1371">
      <w:pPr>
        <w:spacing w:line="360" w:lineRule="auto"/>
        <w:ind w:firstLine="502" w:firstLineChars="200"/>
        <w:rPr>
          <w:rFonts w:hint="eastAsia" w:ascii="仿宋" w:hAnsi="仿宋" w:eastAsia="仿宋" w:cs="仿宋"/>
          <w:b/>
          <w:bCs/>
          <w:sz w:val="25"/>
          <w:szCs w:val="25"/>
          <w:lang w:val="en-US" w:eastAsia="zh-CN"/>
        </w:rPr>
      </w:pPr>
      <w:r>
        <w:rPr>
          <w:rFonts w:hint="eastAsia" w:ascii="仿宋" w:hAnsi="仿宋" w:eastAsia="仿宋" w:cs="仿宋"/>
          <w:b/>
          <w:bCs/>
          <w:sz w:val="25"/>
          <w:szCs w:val="25"/>
          <w:lang w:val="en-US" w:eastAsia="zh-CN"/>
        </w:rPr>
        <w:t>3.3交货地点：</w:t>
      </w:r>
    </w:p>
    <w:p w14:paraId="2E7D17FE">
      <w:pPr>
        <w:spacing w:line="360" w:lineRule="auto"/>
        <w:ind w:firstLine="500" w:firstLineChars="200"/>
        <w:rPr>
          <w:rFonts w:hint="eastAsia" w:ascii="仿宋" w:hAnsi="仿宋" w:eastAsia="仿宋" w:cs="仿宋"/>
          <w:sz w:val="25"/>
          <w:szCs w:val="25"/>
          <w:lang w:val="en-US" w:eastAsia="zh-CN"/>
        </w:rPr>
      </w:pPr>
      <w:bookmarkStart w:id="0" w:name="_Toc268526179"/>
      <w:bookmarkStart w:id="1" w:name="_Toc295165667"/>
      <w:r>
        <w:rPr>
          <w:rFonts w:hint="eastAsia" w:ascii="仿宋" w:hAnsi="仿宋" w:eastAsia="仿宋" w:cs="仿宋"/>
          <w:sz w:val="25"/>
          <w:szCs w:val="25"/>
          <w:lang w:val="en-US" w:eastAsia="zh-CN"/>
        </w:rPr>
        <w:t>南昌工学院。</w:t>
      </w:r>
    </w:p>
    <w:bookmarkEnd w:id="0"/>
    <w:bookmarkEnd w:id="1"/>
    <w:p w14:paraId="122C889F">
      <w:pPr>
        <w:spacing w:line="360" w:lineRule="auto"/>
        <w:ind w:firstLine="502" w:firstLineChars="200"/>
        <w:rPr>
          <w:rFonts w:hint="eastAsia" w:ascii="仿宋" w:hAnsi="仿宋" w:eastAsia="仿宋" w:cs="仿宋"/>
          <w:b/>
          <w:bCs/>
          <w:sz w:val="25"/>
          <w:szCs w:val="25"/>
          <w:lang w:val="en-US" w:eastAsia="zh-CN"/>
        </w:rPr>
      </w:pPr>
      <w:r>
        <w:rPr>
          <w:rFonts w:hint="eastAsia" w:ascii="仿宋" w:hAnsi="仿宋" w:eastAsia="仿宋" w:cs="仿宋"/>
          <w:b/>
          <w:bCs/>
          <w:sz w:val="25"/>
          <w:szCs w:val="25"/>
          <w:lang w:val="en-US" w:eastAsia="zh-CN"/>
        </w:rPr>
        <w:t>3.4交货时间：</w:t>
      </w:r>
    </w:p>
    <w:p w14:paraId="4077294D">
      <w:pPr>
        <w:spacing w:line="360" w:lineRule="auto"/>
        <w:ind w:firstLine="500" w:firstLineChars="200"/>
        <w:rPr>
          <w:rFonts w:hint="eastAsia" w:ascii="仿宋" w:hAnsi="仿宋" w:eastAsia="仿宋" w:cs="仿宋"/>
          <w:sz w:val="25"/>
          <w:szCs w:val="25"/>
          <w:lang w:val="en-US" w:eastAsia="zh-CN"/>
        </w:rPr>
      </w:pPr>
      <w:bookmarkStart w:id="2" w:name="_Toc257035790"/>
      <w:bookmarkStart w:id="3" w:name="_Toc254707148"/>
      <w:bookmarkStart w:id="4" w:name="_Toc257035690"/>
      <w:r>
        <w:rPr>
          <w:rFonts w:hint="eastAsia" w:ascii="仿宋" w:hAnsi="仿宋" w:eastAsia="仿宋" w:cs="仿宋"/>
          <w:sz w:val="25"/>
          <w:szCs w:val="25"/>
          <w:lang w:val="en-US" w:eastAsia="zh-CN"/>
        </w:rPr>
        <w:t>自合同签订起一年内完成全部建设。</w:t>
      </w:r>
    </w:p>
    <w:p w14:paraId="0D3F91B0">
      <w:pPr>
        <w:spacing w:line="360" w:lineRule="auto"/>
        <w:ind w:firstLine="502" w:firstLineChars="200"/>
        <w:rPr>
          <w:rFonts w:hint="eastAsia" w:ascii="仿宋" w:hAnsi="仿宋" w:eastAsia="仿宋" w:cs="仿宋"/>
          <w:b/>
          <w:bCs/>
          <w:sz w:val="25"/>
          <w:szCs w:val="25"/>
          <w:lang w:val="en-US" w:eastAsia="zh-CN"/>
        </w:rPr>
      </w:pPr>
      <w:r>
        <w:rPr>
          <w:rFonts w:hint="eastAsia" w:ascii="仿宋" w:hAnsi="仿宋" w:eastAsia="仿宋" w:cs="仿宋"/>
          <w:b/>
          <w:bCs/>
          <w:sz w:val="25"/>
          <w:szCs w:val="25"/>
          <w:lang w:val="en-US" w:eastAsia="zh-CN"/>
        </w:rPr>
        <w:t>3.5安装及验收</w:t>
      </w:r>
    </w:p>
    <w:bookmarkEnd w:id="2"/>
    <w:bookmarkEnd w:id="3"/>
    <w:bookmarkEnd w:id="4"/>
    <w:p w14:paraId="4E92327F">
      <w:pPr>
        <w:spacing w:line="360" w:lineRule="auto"/>
        <w:ind w:firstLine="500" w:firstLineChars="200"/>
        <w:rPr>
          <w:rFonts w:hint="eastAsia" w:ascii="仿宋" w:hAnsi="仿宋" w:eastAsia="仿宋" w:cs="仿宋"/>
          <w:sz w:val="25"/>
          <w:szCs w:val="25"/>
          <w:lang w:val="en-US" w:eastAsia="zh-CN"/>
        </w:rPr>
      </w:pPr>
      <w:bookmarkStart w:id="5" w:name="_Toc268526183"/>
      <w:bookmarkStart w:id="6" w:name="_Toc251399868"/>
      <w:bookmarkStart w:id="7" w:name="_Toc257035793"/>
      <w:bookmarkStart w:id="8" w:name="_Toc254707151"/>
      <w:bookmarkStart w:id="9" w:name="_Toc257035693"/>
      <w:bookmarkStart w:id="10" w:name="_Toc295165671"/>
      <w:r>
        <w:rPr>
          <w:rFonts w:hint="eastAsia" w:ascii="仿宋" w:hAnsi="仿宋" w:eastAsia="仿宋" w:cs="仿宋"/>
          <w:sz w:val="25"/>
          <w:szCs w:val="25"/>
          <w:lang w:val="en-US" w:eastAsia="zh-CN"/>
        </w:rPr>
        <w:t>3.5.1成交供应商在交货及验收活动中必须遵守采购人的有关规定。成交5个工作日内，需对采购人指定指标进行验证，不满足的，采购人将不予接受。</w:t>
      </w:r>
    </w:p>
    <w:p w14:paraId="5B5C4309">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3.5.2成交供应商负责本次采购产品的运抵采购人指定的交货地点后由采购人严格按照竞争性磋商文件、响应文件及答疑记录进行验收。</w:t>
      </w:r>
    </w:p>
    <w:p w14:paraId="0B6EAB39">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3.5.3最终验收：在收到成交供应商书面验收通知后，由采购人尽快组织相关人员（验收专家）依照相关标准、规范、要求、合同及有关附件要求进行验收。</w:t>
      </w:r>
    </w:p>
    <w:p w14:paraId="1536527A">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3.5.4相关检验检测和验收费用全部由成交供应商承担。</w:t>
      </w:r>
    </w:p>
    <w:p w14:paraId="568D38AC">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3.5.5如果发现有质量、技术等问题，成交供应商应负责按照采购人的要求采取补足或更换等处理措施，并承担由此发生的一切损失和费用。</w:t>
      </w:r>
    </w:p>
    <w:bookmarkEnd w:id="5"/>
    <w:bookmarkEnd w:id="6"/>
    <w:bookmarkEnd w:id="7"/>
    <w:bookmarkEnd w:id="8"/>
    <w:bookmarkEnd w:id="9"/>
    <w:bookmarkEnd w:id="10"/>
    <w:p w14:paraId="6AC3CC1C">
      <w:pPr>
        <w:spacing w:line="360" w:lineRule="auto"/>
        <w:ind w:firstLine="502" w:firstLineChars="200"/>
        <w:rPr>
          <w:rFonts w:hint="eastAsia" w:ascii="仿宋" w:hAnsi="仿宋" w:eastAsia="仿宋" w:cs="仿宋"/>
          <w:b/>
          <w:bCs/>
          <w:sz w:val="25"/>
          <w:szCs w:val="25"/>
          <w:lang w:val="en-US" w:eastAsia="zh-CN"/>
        </w:rPr>
      </w:pPr>
      <w:r>
        <w:rPr>
          <w:rFonts w:hint="eastAsia" w:ascii="仿宋" w:hAnsi="仿宋" w:eastAsia="仿宋" w:cs="仿宋"/>
          <w:b/>
          <w:bCs/>
          <w:sz w:val="25"/>
          <w:szCs w:val="25"/>
          <w:lang w:val="en-US" w:eastAsia="zh-CN"/>
        </w:rPr>
        <w:t>3.6版权要求</w:t>
      </w:r>
    </w:p>
    <w:p w14:paraId="44B06225">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3.6.1本项目所有相关资料（包括脚本、录像等原始素材以及后期完成制作的成品课程，校本数字教材）的著作权全部归采购方所有。未经允许，任何人与单位不得擅自使用相关资料，若违反，将按照相关规定追究法律责任。</w:t>
      </w:r>
    </w:p>
    <w:p w14:paraId="73DEF800">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3.6.2成交供应商未经书面许可，不得复制或向第三方公开本项目的课程资源。供应商对方案及工作中涉及的敏感数据和报告等资料负有保密责任。</w:t>
      </w:r>
    </w:p>
    <w:p w14:paraId="4D5C3652">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3.6.3成交供应商提供给采购方的所有资料性文档，采购方拥有其全部权利，包括知识产权、所有权、使用权和修改权。</w:t>
      </w:r>
    </w:p>
    <w:p w14:paraId="1583CAA5">
      <w:pPr>
        <w:spacing w:line="360" w:lineRule="auto"/>
        <w:ind w:firstLine="502" w:firstLineChars="200"/>
        <w:rPr>
          <w:rFonts w:hint="eastAsia" w:ascii="仿宋" w:hAnsi="仿宋" w:eastAsia="仿宋" w:cs="仿宋"/>
          <w:b/>
          <w:bCs/>
          <w:sz w:val="25"/>
          <w:szCs w:val="25"/>
          <w:lang w:val="en-US" w:eastAsia="zh-CN"/>
        </w:rPr>
      </w:pPr>
      <w:r>
        <w:rPr>
          <w:rFonts w:hint="eastAsia" w:ascii="仿宋" w:hAnsi="仿宋" w:eastAsia="仿宋" w:cs="仿宋"/>
          <w:b/>
          <w:bCs/>
          <w:sz w:val="25"/>
          <w:szCs w:val="25"/>
          <w:lang w:val="en-US" w:eastAsia="zh-CN"/>
        </w:rPr>
        <w:t>3.7课程运营及推广能力</w:t>
      </w:r>
    </w:p>
    <w:p w14:paraId="53C2C3EA">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3.7.1</w:t>
      </w:r>
      <w:r>
        <w:rPr>
          <w:rFonts w:hint="default" w:ascii="仿宋" w:hAnsi="仿宋" w:eastAsia="仿宋" w:cs="仿宋"/>
          <w:sz w:val="25"/>
          <w:szCs w:val="25"/>
          <w:lang w:val="en-US" w:eastAsia="zh-CN"/>
        </w:rPr>
        <w:t>为保障课程推广，促进成果转化，课程能在“江西高校课程资源共享平台”“学银在线”“超星尔雅”“优课在线”</w:t>
      </w:r>
      <w:r>
        <w:rPr>
          <w:rFonts w:hint="eastAsia" w:ascii="仿宋" w:hAnsi="仿宋" w:eastAsia="仿宋" w:cs="仿宋"/>
          <w:sz w:val="25"/>
          <w:szCs w:val="25"/>
          <w:lang w:val="en-US" w:eastAsia="zh-CN"/>
        </w:rPr>
        <w:t>“学堂在线”“中国大学慕课mooc”</w:t>
      </w:r>
      <w:r>
        <w:rPr>
          <w:rFonts w:hint="default" w:ascii="仿宋" w:hAnsi="仿宋" w:eastAsia="仿宋" w:cs="仿宋"/>
          <w:sz w:val="25"/>
          <w:szCs w:val="25"/>
          <w:lang w:val="en-US" w:eastAsia="zh-CN"/>
        </w:rPr>
        <w:t>等课程平台上传</w:t>
      </w:r>
      <w:r>
        <w:rPr>
          <w:rFonts w:hint="eastAsia" w:ascii="仿宋" w:hAnsi="仿宋" w:eastAsia="仿宋" w:cs="仿宋"/>
          <w:sz w:val="25"/>
          <w:szCs w:val="25"/>
          <w:lang w:val="en-US" w:eastAsia="zh-CN"/>
        </w:rPr>
        <w:t>。</w:t>
      </w:r>
    </w:p>
    <w:p w14:paraId="31E54B74">
      <w:pPr>
        <w:spacing w:line="360" w:lineRule="auto"/>
        <w:ind w:firstLine="500" w:firstLineChars="200"/>
        <w:rPr>
          <w:rFonts w:hint="default" w:ascii="仿宋" w:hAnsi="仿宋" w:eastAsia="仿宋" w:cs="仿宋"/>
          <w:sz w:val="25"/>
          <w:szCs w:val="25"/>
          <w:lang w:val="en-US" w:eastAsia="zh-CN"/>
        </w:rPr>
      </w:pPr>
      <w:r>
        <w:rPr>
          <w:rFonts w:hint="eastAsia" w:ascii="仿宋" w:hAnsi="仿宋" w:eastAsia="仿宋" w:cs="仿宋"/>
          <w:sz w:val="25"/>
          <w:szCs w:val="25"/>
          <w:lang w:val="en-US" w:eastAsia="zh-CN"/>
        </w:rPr>
        <w:t>3.7.2</w:t>
      </w:r>
      <w:r>
        <w:rPr>
          <w:rFonts w:hint="default" w:ascii="仿宋" w:hAnsi="仿宋" w:eastAsia="仿宋" w:cs="仿宋"/>
          <w:sz w:val="25"/>
          <w:szCs w:val="25"/>
          <w:lang w:val="en-US" w:eastAsia="zh-CN"/>
        </w:rPr>
        <w:t>供应商提供的课程运行平台须具备孵化省级智慧课程的成功实践案例，相关省级智慧课程须依托该平台完成孵化与实际教学</w:t>
      </w:r>
      <w:bookmarkStart w:id="11" w:name="_GoBack"/>
      <w:bookmarkEnd w:id="11"/>
      <w:r>
        <w:rPr>
          <w:rFonts w:hint="default" w:ascii="仿宋" w:hAnsi="仿宋" w:eastAsia="仿宋" w:cs="仿宋"/>
          <w:sz w:val="25"/>
          <w:szCs w:val="25"/>
          <w:lang w:val="en-US" w:eastAsia="zh-CN"/>
        </w:rPr>
        <w:t>使用，投标时须提交可核验的相关佐证材料予以证明</w:t>
      </w:r>
      <w:r>
        <w:rPr>
          <w:rFonts w:hint="eastAsia" w:ascii="仿宋" w:hAnsi="仿宋" w:eastAsia="仿宋" w:cs="仿宋"/>
          <w:sz w:val="25"/>
          <w:szCs w:val="25"/>
          <w:lang w:val="en-US" w:eastAsia="zh-CN"/>
        </w:rPr>
        <w:t>。</w:t>
      </w:r>
    </w:p>
    <w:p w14:paraId="1D3DE99C">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3.7.3具有数字资源检索功能：</w:t>
      </w:r>
    </w:p>
    <w:p w14:paraId="7197A1D5">
      <w:pPr>
        <w:spacing w:line="360" w:lineRule="auto"/>
        <w:ind w:firstLine="500" w:firstLineChars="200"/>
        <w:rPr>
          <w:rFonts w:hint="eastAsia" w:ascii="仿宋" w:hAnsi="仿宋" w:eastAsia="仿宋" w:cs="仿宋"/>
          <w:sz w:val="25"/>
          <w:szCs w:val="25"/>
          <w:lang w:val="en-US" w:eastAsia="zh-CN"/>
        </w:rPr>
      </w:pPr>
      <w:r>
        <w:rPr>
          <w:rFonts w:hint="eastAsia" w:ascii="仿宋" w:hAnsi="仿宋" w:eastAsia="仿宋" w:cs="仿宋"/>
          <w:sz w:val="25"/>
          <w:szCs w:val="25"/>
          <w:lang w:val="en-US" w:eastAsia="zh-CN"/>
        </w:rPr>
        <w:t>（1）教师可以直接从备课资源库进行数字资源检索、添加课程相关的教学参考书和学术视频，推荐给学生直接进行在线观看；</w:t>
      </w:r>
    </w:p>
    <w:p w14:paraId="44745916">
      <w:pPr>
        <w:spacing w:line="360" w:lineRule="auto"/>
        <w:ind w:firstLine="500" w:firstLineChars="200"/>
        <w:rPr>
          <w:rFonts w:hint="default" w:ascii="仿宋" w:hAnsi="仿宋" w:eastAsia="仿宋" w:cs="仿宋"/>
          <w:sz w:val="25"/>
          <w:szCs w:val="25"/>
          <w:lang w:val="en-US" w:eastAsia="zh-CN"/>
        </w:rPr>
      </w:pPr>
      <w:r>
        <w:rPr>
          <w:rFonts w:hint="eastAsia" w:ascii="仿宋" w:hAnsi="仿宋" w:eastAsia="仿宋" w:cs="仿宋"/>
          <w:sz w:val="25"/>
          <w:szCs w:val="25"/>
          <w:lang w:val="en-US" w:eastAsia="zh-CN"/>
        </w:rPr>
        <w:t>（2）备课资源库提供电子书、学术视频和文档资源检索，可以进行在线阅读，可以进行文字摘录。</w:t>
      </w:r>
    </w:p>
    <w:p w14:paraId="4DB1CF7C">
      <w:pPr>
        <w:spacing w:line="360" w:lineRule="auto"/>
        <w:ind w:firstLine="502" w:firstLineChars="200"/>
        <w:rPr>
          <w:rFonts w:hint="default" w:ascii="仿宋" w:hAnsi="仿宋" w:eastAsia="仿宋" w:cs="仿宋"/>
          <w:b/>
          <w:bCs/>
          <w:sz w:val="25"/>
          <w:szCs w:val="25"/>
          <w:lang w:val="en-US" w:eastAsia="zh-CN"/>
        </w:rPr>
      </w:pPr>
      <w:r>
        <w:rPr>
          <w:rFonts w:hint="eastAsia" w:ascii="仿宋" w:hAnsi="仿宋" w:eastAsia="仿宋" w:cs="仿宋"/>
          <w:b/>
          <w:bCs/>
          <w:sz w:val="25"/>
          <w:szCs w:val="25"/>
          <w:lang w:val="en-US" w:eastAsia="zh-CN"/>
        </w:rPr>
        <w:t>3.8投标人综合实力证明</w:t>
      </w:r>
    </w:p>
    <w:p w14:paraId="36612BD7">
      <w:pPr>
        <w:spacing w:line="360" w:lineRule="auto"/>
        <w:ind w:firstLine="500" w:firstLineChars="200"/>
        <w:rPr>
          <w:rFonts w:hint="eastAsia" w:ascii="仿宋" w:hAnsi="仿宋" w:eastAsia="仿宋" w:cs="仿宋"/>
          <w:b w:val="0"/>
          <w:bCs w:val="0"/>
          <w:sz w:val="25"/>
          <w:szCs w:val="25"/>
          <w:lang w:val="en-US" w:eastAsia="zh-CN"/>
        </w:rPr>
      </w:pPr>
      <w:r>
        <w:rPr>
          <w:rFonts w:hint="eastAsia" w:ascii="仿宋" w:hAnsi="仿宋" w:eastAsia="仿宋" w:cs="仿宋"/>
          <w:b w:val="0"/>
          <w:bCs w:val="0"/>
          <w:sz w:val="25"/>
          <w:szCs w:val="25"/>
          <w:lang w:val="en-US" w:eastAsia="zh-CN"/>
        </w:rPr>
        <w:t>1.配套提供图谱系统、AI工具，以完成智慧课程核心内容的建设，须具有数字化加工或处理平台系统的计算机软件著作权登记证书，并提供证书扫描件加盖公章，（或提供承诺函，承诺中标后三个月内提供证书截图）否则视为响应无效。</w:t>
      </w:r>
    </w:p>
    <w:p w14:paraId="661C8523">
      <w:pPr>
        <w:spacing w:line="360" w:lineRule="auto"/>
        <w:ind w:firstLine="500" w:firstLineChars="200"/>
        <w:rPr>
          <w:rFonts w:hint="eastAsia" w:ascii="仿宋" w:hAnsi="仿宋" w:eastAsia="仿宋" w:cs="仿宋"/>
          <w:b w:val="0"/>
          <w:bCs w:val="0"/>
          <w:sz w:val="25"/>
          <w:szCs w:val="25"/>
          <w:lang w:val="en-US" w:eastAsia="zh-CN"/>
        </w:rPr>
      </w:pPr>
      <w:r>
        <w:rPr>
          <w:rFonts w:hint="eastAsia" w:ascii="仿宋" w:hAnsi="仿宋" w:eastAsia="仿宋" w:cs="仿宋"/>
          <w:b w:val="0"/>
          <w:bCs w:val="0"/>
          <w:sz w:val="25"/>
          <w:szCs w:val="25"/>
          <w:lang w:val="en-US" w:eastAsia="zh-CN"/>
        </w:rPr>
        <w:t>2.配套提供智慧教学系统、教学资源库、支撑智慧课程建设与运行，开展在线学习或混合式教学。教学资源库中所提供图书资源必须解决版权问题，并提供承诺函加盖公章，（承诺中标后三个月内解决版权问题并提供扫描件）否则视为响应无效。</w:t>
      </w:r>
    </w:p>
    <w:p w14:paraId="75ADB4F0">
      <w:pPr>
        <w:spacing w:line="360" w:lineRule="auto"/>
        <w:ind w:firstLine="500" w:firstLineChars="200"/>
        <w:rPr>
          <w:rFonts w:hint="eastAsia" w:ascii="仿宋" w:hAnsi="仿宋" w:eastAsia="仿宋" w:cs="仿宋"/>
          <w:b w:val="0"/>
          <w:bCs w:val="0"/>
          <w:sz w:val="25"/>
          <w:szCs w:val="25"/>
          <w:lang w:val="en-US" w:eastAsia="zh-CN"/>
        </w:rPr>
      </w:pPr>
      <w:r>
        <w:rPr>
          <w:rFonts w:hint="eastAsia" w:ascii="仿宋" w:hAnsi="仿宋" w:eastAsia="仿宋" w:cs="仿宋"/>
          <w:b w:val="0"/>
          <w:bCs w:val="0"/>
          <w:sz w:val="25"/>
          <w:szCs w:val="25"/>
          <w:lang w:val="en-US" w:eastAsia="zh-CN"/>
        </w:rPr>
        <w:t>3.积极配合学校培育省级及以上智慧课程，配套的课程平台能够与江西高校课程资源共享管理中心平台对接，并提供承诺函加盖公章。供应商须提供能上线到国家精品在线开放课程的评选和运营平台的承诺函，（承诺中标后三个月内完成备案并提供备案截图）明确平台名称及网址，并加盖公章，否则视为响应无效。</w:t>
      </w:r>
    </w:p>
    <w:p w14:paraId="0C47C992">
      <w:pPr>
        <w:spacing w:line="360" w:lineRule="auto"/>
        <w:ind w:firstLine="500" w:firstLineChars="200"/>
        <w:rPr>
          <w:rFonts w:hint="eastAsia" w:ascii="仿宋" w:hAnsi="仿宋" w:eastAsia="仿宋" w:cs="仿宋"/>
          <w:b w:val="0"/>
          <w:bCs w:val="0"/>
          <w:sz w:val="25"/>
          <w:szCs w:val="25"/>
          <w:lang w:val="en-US" w:eastAsia="zh-CN"/>
        </w:rPr>
      </w:pPr>
      <w:r>
        <w:rPr>
          <w:rFonts w:hint="eastAsia" w:ascii="仿宋" w:hAnsi="仿宋" w:eastAsia="仿宋" w:cs="仿宋"/>
          <w:b w:val="0"/>
          <w:bCs w:val="0"/>
          <w:sz w:val="25"/>
          <w:szCs w:val="25"/>
          <w:lang w:val="en-US" w:eastAsia="zh-CN"/>
        </w:rPr>
        <w:t>4.智慧教学系统能够体现先进规范，易于使用及良好的扩展性能，符合国内标准，支持中、英文等版本。安全稳定、对师生的信息安全有保护机制，提供智慧教学系统的三级网络安全等级保护测评报告复印件（必须在投标期内有效）及公安机关出具的三级“信息系统安全等级保护备案证明”加盖供应商公章，或承诺函（承诺中标后三个月内完成测评并提供证书扫描件）加盖供应商公章，否则视为响应无效。</w:t>
      </w:r>
    </w:p>
    <w:p w14:paraId="6E7532FA">
      <w:pPr>
        <w:spacing w:line="360" w:lineRule="auto"/>
        <w:ind w:firstLine="500" w:firstLineChars="200"/>
        <w:rPr>
          <w:rFonts w:hint="eastAsia" w:ascii="仿宋" w:hAnsi="仿宋" w:eastAsia="仿宋" w:cs="仿宋"/>
          <w:b w:val="0"/>
          <w:bCs w:val="0"/>
          <w:sz w:val="25"/>
          <w:szCs w:val="25"/>
          <w:lang w:val="en-US" w:eastAsia="zh-CN"/>
        </w:rPr>
      </w:pPr>
      <w:r>
        <w:rPr>
          <w:rFonts w:hint="eastAsia" w:ascii="仿宋" w:hAnsi="仿宋" w:eastAsia="仿宋" w:cs="仿宋"/>
          <w:b w:val="0"/>
          <w:bCs w:val="0"/>
          <w:sz w:val="25"/>
          <w:szCs w:val="25"/>
          <w:lang w:val="en-US" w:eastAsia="zh-CN"/>
        </w:rPr>
        <w:t>5.AI工作台是已完成备案的生成式人工智能服务，提供互联网信息服务算法备案系统（https://beian.cac.gov.cn）备案查询截图加盖供应商公章或承诺函（承诺中标后三个月内完成备案并提供备案截图）加盖供应商公章，否则视为响应无效。</w:t>
      </w:r>
    </w:p>
    <w:p w14:paraId="2D66A746">
      <w:pPr>
        <w:spacing w:line="360" w:lineRule="auto"/>
        <w:ind w:firstLine="500" w:firstLineChars="200"/>
        <w:rPr>
          <w:rFonts w:hint="default" w:ascii="仿宋" w:hAnsi="仿宋" w:eastAsia="仿宋" w:cs="仿宋"/>
          <w:b w:val="0"/>
          <w:bCs w:val="0"/>
          <w:sz w:val="25"/>
          <w:szCs w:val="25"/>
          <w:lang w:val="en-US" w:eastAsia="zh-CN"/>
        </w:rPr>
      </w:pPr>
      <w:r>
        <w:rPr>
          <w:rFonts w:hint="eastAsia" w:ascii="仿宋" w:hAnsi="仿宋" w:eastAsia="仿宋" w:cs="仿宋"/>
          <w:b w:val="0"/>
          <w:bCs w:val="0"/>
          <w:sz w:val="25"/>
          <w:szCs w:val="25"/>
          <w:lang w:val="en-US" w:eastAsia="zh-CN"/>
        </w:rPr>
        <w:t>6.供应商所提供的移动端通过教育移动互联网应用备案，并获得备案号，提供教育部教育移动互联网应用程序备案管理平台（http://app.eduyun.cn）备案截图加盖供应商公章或承诺函（承诺中标后三个月内完成备案并提供备案截图）加盖供应商公章，否则视为响应无效。</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Yu Mincho Light">
    <w:altName w:val="Yu Gothic"/>
    <w:panose1 w:val="00000000000000000000"/>
    <w:charset w:val="80"/>
    <w:family w:val="roman"/>
    <w:pitch w:val="default"/>
    <w:sig w:usb0="00000000" w:usb1="00000000" w:usb2="00000012" w:usb3="00000000" w:csb0="0002009F" w:csb1="00000000"/>
  </w:font>
  <w:font w:name="Yu Gothic">
    <w:panose1 w:val="020B0400000000000000"/>
    <w:charset w:val="80"/>
    <w:family w:val="auto"/>
    <w:pitch w:val="default"/>
    <w:sig w:usb0="E00002FF" w:usb1="2AC7FDFF" w:usb2="00000016" w:usb3="00000000" w:csb0="200200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7B2DB"/>
    <w:multiLevelType w:val="singleLevel"/>
    <w:tmpl w:val="9337B2DB"/>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3254AF"/>
    <w:rsid w:val="0015181B"/>
    <w:rsid w:val="0023780B"/>
    <w:rsid w:val="002C726F"/>
    <w:rsid w:val="00377984"/>
    <w:rsid w:val="00732142"/>
    <w:rsid w:val="0073247C"/>
    <w:rsid w:val="008B15FA"/>
    <w:rsid w:val="00B70EB4"/>
    <w:rsid w:val="00B839B3"/>
    <w:rsid w:val="00DB3F99"/>
    <w:rsid w:val="00E83304"/>
    <w:rsid w:val="038F2899"/>
    <w:rsid w:val="082E5202"/>
    <w:rsid w:val="08986734"/>
    <w:rsid w:val="089F7EAE"/>
    <w:rsid w:val="09A95790"/>
    <w:rsid w:val="0A98779E"/>
    <w:rsid w:val="0ACE6829"/>
    <w:rsid w:val="0D582676"/>
    <w:rsid w:val="0E6702A0"/>
    <w:rsid w:val="0F3E30E0"/>
    <w:rsid w:val="10686D35"/>
    <w:rsid w:val="111822BF"/>
    <w:rsid w:val="12CC6D8A"/>
    <w:rsid w:val="13F139CA"/>
    <w:rsid w:val="154A18A9"/>
    <w:rsid w:val="16255F93"/>
    <w:rsid w:val="167A2D87"/>
    <w:rsid w:val="17094D20"/>
    <w:rsid w:val="18094F0A"/>
    <w:rsid w:val="18194819"/>
    <w:rsid w:val="19E75211"/>
    <w:rsid w:val="1A23120A"/>
    <w:rsid w:val="1AED2CFB"/>
    <w:rsid w:val="1D7E67A8"/>
    <w:rsid w:val="1D822AF2"/>
    <w:rsid w:val="1DD37047"/>
    <w:rsid w:val="1EAA2431"/>
    <w:rsid w:val="1FBF453A"/>
    <w:rsid w:val="204C58AF"/>
    <w:rsid w:val="21454723"/>
    <w:rsid w:val="22997A38"/>
    <w:rsid w:val="232A7534"/>
    <w:rsid w:val="26040BE6"/>
    <w:rsid w:val="27707AEE"/>
    <w:rsid w:val="281178FD"/>
    <w:rsid w:val="298011DE"/>
    <w:rsid w:val="2B0E36C7"/>
    <w:rsid w:val="2BB14C5C"/>
    <w:rsid w:val="2E226A13"/>
    <w:rsid w:val="2FD858D0"/>
    <w:rsid w:val="302624D3"/>
    <w:rsid w:val="309F5F6D"/>
    <w:rsid w:val="30D1550A"/>
    <w:rsid w:val="32D52073"/>
    <w:rsid w:val="39146ED1"/>
    <w:rsid w:val="3A1C3C34"/>
    <w:rsid w:val="3A2F0849"/>
    <w:rsid w:val="3B363C47"/>
    <w:rsid w:val="3C400AAD"/>
    <w:rsid w:val="3D390925"/>
    <w:rsid w:val="3D9B1296"/>
    <w:rsid w:val="3E6166D5"/>
    <w:rsid w:val="3F5734E4"/>
    <w:rsid w:val="3FAF3CFD"/>
    <w:rsid w:val="428A7978"/>
    <w:rsid w:val="451C3BF0"/>
    <w:rsid w:val="4A0061D8"/>
    <w:rsid w:val="4CF80F08"/>
    <w:rsid w:val="4E5F082E"/>
    <w:rsid w:val="4FD57604"/>
    <w:rsid w:val="51E56097"/>
    <w:rsid w:val="52752817"/>
    <w:rsid w:val="54DA74BF"/>
    <w:rsid w:val="550E0A43"/>
    <w:rsid w:val="55B62931"/>
    <w:rsid w:val="56064695"/>
    <w:rsid w:val="56187D63"/>
    <w:rsid w:val="5AE54C17"/>
    <w:rsid w:val="5BF566C3"/>
    <w:rsid w:val="5D1F43F1"/>
    <w:rsid w:val="5D5A66F3"/>
    <w:rsid w:val="5D99194B"/>
    <w:rsid w:val="5FDA0B58"/>
    <w:rsid w:val="60377923"/>
    <w:rsid w:val="603F1B39"/>
    <w:rsid w:val="610037FD"/>
    <w:rsid w:val="62B62320"/>
    <w:rsid w:val="641F230D"/>
    <w:rsid w:val="652300CE"/>
    <w:rsid w:val="653A4723"/>
    <w:rsid w:val="69EF0EF7"/>
    <w:rsid w:val="6A592E91"/>
    <w:rsid w:val="6B6D25D2"/>
    <w:rsid w:val="6CBD325C"/>
    <w:rsid w:val="6DE450DB"/>
    <w:rsid w:val="6E186040"/>
    <w:rsid w:val="6E234D87"/>
    <w:rsid w:val="701F0C3F"/>
    <w:rsid w:val="70546850"/>
    <w:rsid w:val="72AB14FA"/>
    <w:rsid w:val="745E5245"/>
    <w:rsid w:val="76363379"/>
    <w:rsid w:val="76EE065D"/>
    <w:rsid w:val="793254AF"/>
    <w:rsid w:val="7AD22EA5"/>
    <w:rsid w:val="7B7A017B"/>
    <w:rsid w:val="7C025299"/>
    <w:rsid w:val="7F0F2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qFormat/>
    <w:uiPriority w:val="0"/>
    <w:pPr>
      <w:widowControl w:val="0"/>
      <w:spacing w:before="240" w:after="120" w:line="360" w:lineRule="auto"/>
      <w:outlineLvl w:val="0"/>
    </w:pPr>
    <w:rPr>
      <w:rFonts w:ascii="宋体" w:hAnsi="宋体" w:eastAsia="宋体" w:cs="宋体"/>
      <w:b/>
      <w:bCs/>
      <w:kern w:val="44"/>
      <w:sz w:val="24"/>
      <w:szCs w:val="30"/>
      <w:lang w:val="en-US" w:eastAsia="zh-CN" w:bidi="ar-SA"/>
    </w:rPr>
  </w:style>
  <w:style w:type="paragraph" w:styleId="3">
    <w:name w:val="heading 2"/>
    <w:basedOn w:val="1"/>
    <w:next w:val="1"/>
    <w:qFormat/>
    <w:uiPriority w:val="99"/>
    <w:pPr>
      <w:keepNext/>
      <w:keepLines/>
      <w:widowControl w:val="0"/>
      <w:spacing w:before="260" w:after="260" w:line="415" w:lineRule="auto"/>
      <w:ind w:firstLine="200" w:firstLineChars="200"/>
      <w:outlineLvl w:val="1"/>
    </w:pPr>
    <w:rPr>
      <w:rFonts w:ascii="Cambria" w:hAnsi="Cambria" w:eastAsia="宋体" w:cs="Times New Roman"/>
      <w:b/>
      <w:kern w:val="0"/>
      <w:sz w:val="20"/>
      <w:szCs w:val="20"/>
      <w:lang w:val="en-US" w:eastAsia="zh-CN" w:bidi="ar-SA"/>
    </w:rPr>
  </w:style>
  <w:style w:type="paragraph" w:styleId="4">
    <w:name w:val="heading 3"/>
    <w:next w:val="1"/>
    <w:unhideWhenUsed/>
    <w:qFormat/>
    <w:uiPriority w:val="0"/>
    <w:pPr>
      <w:widowControl w:val="0"/>
      <w:spacing w:after="120" w:line="360" w:lineRule="auto"/>
      <w:outlineLvl w:val="2"/>
    </w:pPr>
    <w:rPr>
      <w:rFonts w:ascii="Times New Roman" w:hAnsi="Times New Roman" w:eastAsia="宋体" w:cs="Times New Roman"/>
      <w:b/>
      <w:sz w:val="24"/>
      <w:lang w:val="en-US" w:eastAsia="zh-CN" w:bidi="ar-SA"/>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pPr>
      <w:widowControl w:val="0"/>
      <w:adjustRightInd/>
      <w:snapToGrid/>
      <w:spacing w:after="0" w:afterLines="0" w:line="440" w:lineRule="exact"/>
      <w:jc w:val="both"/>
    </w:pPr>
    <w:rPr>
      <w:rFonts w:ascii="宋体" w:hAnsi="Arial" w:eastAsia="宋体" w:cs="Times New Roman"/>
      <w:kern w:val="2"/>
      <w:sz w:val="28"/>
      <w:szCs w:val="20"/>
    </w:rPr>
  </w:style>
  <w:style w:type="paragraph" w:styleId="7">
    <w:name w:val="Body Text Indent"/>
    <w:basedOn w:val="1"/>
    <w:unhideWhenUsed/>
    <w:qFormat/>
    <w:uiPriority w:val="99"/>
    <w:pPr>
      <w:spacing w:after="120" w:afterLines="0"/>
      <w:ind w:left="420"/>
    </w:pPr>
    <w:rPr>
      <w:rFonts w:ascii="Times New Roman" w:hAnsi="Times New Roman"/>
      <w:szCs w:val="24"/>
    </w:rPr>
  </w:style>
  <w:style w:type="paragraph" w:styleId="8">
    <w:name w:val="Subtitle"/>
    <w:basedOn w:val="1"/>
    <w:next w:val="1"/>
    <w:qFormat/>
    <w:uiPriority w:val="11"/>
    <w:pPr>
      <w:spacing w:line="312" w:lineRule="auto"/>
      <w:jc w:val="center"/>
      <w:outlineLvl w:val="1"/>
    </w:pPr>
    <w:rPr>
      <w:rFonts w:ascii="Cambria" w:hAnsi="Cambria"/>
      <w:b/>
      <w:bCs/>
      <w:kern w:val="28"/>
      <w:sz w:val="32"/>
      <w:szCs w:val="32"/>
    </w:rPr>
  </w:style>
  <w:style w:type="paragraph" w:styleId="9">
    <w:name w:val="Normal (Web)"/>
    <w:basedOn w:val="1"/>
    <w:qFormat/>
    <w:uiPriority w:val="0"/>
    <w:rPr>
      <w:sz w:val="24"/>
    </w:rPr>
  </w:style>
  <w:style w:type="paragraph" w:styleId="10">
    <w:name w:val="Body Text First Indent"/>
    <w:basedOn w:val="6"/>
    <w:next w:val="1"/>
    <w:qFormat/>
    <w:uiPriority w:val="0"/>
    <w:pPr>
      <w:spacing w:after="120"/>
      <w:ind w:firstLine="420" w:firstLineChars="100"/>
    </w:pPr>
    <w:rPr>
      <w:rFonts w:ascii="Yu Mincho Light" w:hAnsi="Yu Mincho Light"/>
      <w:sz w:val="21"/>
      <w:szCs w:val="24"/>
    </w:rPr>
  </w:style>
  <w:style w:type="paragraph" w:styleId="11">
    <w:name w:val="Body Text First Indent 2"/>
    <w:basedOn w:val="7"/>
    <w:unhideWhenUsed/>
    <w:qFormat/>
    <w:uiPriority w:val="99"/>
    <w:pPr>
      <w:ind w:firstLine="420"/>
    </w:pPr>
  </w:style>
  <w:style w:type="character" w:styleId="14">
    <w:name w:val="annotation reference"/>
    <w:basedOn w:val="13"/>
    <w:qFormat/>
    <w:uiPriority w:val="0"/>
    <w:rPr>
      <w:sz w:val="21"/>
      <w:szCs w:val="21"/>
    </w:rPr>
  </w:style>
  <w:style w:type="table" w:customStyle="1" w:styleId="15">
    <w:name w:val="Table Normal"/>
    <w:unhideWhenUsed/>
    <w:qFormat/>
    <w:uiPriority w:val="0"/>
    <w:tblPr>
      <w:tblCellMar>
        <w:top w:w="0" w:type="dxa"/>
        <w:left w:w="0" w:type="dxa"/>
        <w:bottom w:w="0" w:type="dxa"/>
        <w:right w:w="0" w:type="dxa"/>
      </w:tblCellMar>
    </w:tblPr>
  </w:style>
  <w:style w:type="paragraph" w:styleId="16">
    <w:name w:val="List Paragraph"/>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5549648f-b7ed-428b-999e-b48137533a84</errorID>
      <errorWord>年</errorWord>
      <group>L1_Knowledge</group>
      <groupName>知识性问题</groupName>
      <ability>L2_Knowledge</ability>
      <abilityName>其他知识</abilityName>
      <candidateList>
        <item>件</item>
      </candidateList>
      <explain>请检查“年”是否为量词使用错误，建议修改为“件”。</explain>
      <paraID>2E38D594</paraID>
      <start>73</start>
      <end>74</end>
      <status>unmodified</status>
      <modifiedWord/>
      <trackRevisions>false</trackRevisions>
    </reviewItem>
    <reviewItem>
      <errorID>5b1be35c-6433-47b5-b1e5-46a86ba78722</errorID>
      <errorWord>需具备</errorWord>
      <group>L1_Word</group>
      <groupName>字词问题</groupName>
      <ability>L2_Typo</ability>
      <abilityName>字词错误</abilityName>
      <candidateList>
        <item>须具备</item>
      </candidateList>
      <explain/>
      <paraID>28E5F29F</paraID>
      <start>5</start>
      <end>8</end>
      <status>unmodified</status>
      <modifiedWord/>
      <trackRevisions>false</trackRevisions>
    </reviewItem>
    <reviewItem>
      <errorID>ac172b77-8d5e-40f3-95e4-600fae26e654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1641CA93</paraID>
      <start>87</start>
      <end>88</end>
      <status>unmodified</status>
      <modifiedWord/>
      <trackRevisions>false</trackRevisions>
    </reviewItem>
    <reviewItem>
      <errorID>ffbcad11-7a18-42d8-8658-9f7c3cd49690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CB4F22A</paraID>
      <start>10</start>
      <end>11</end>
      <status>unmodified</status>
      <modifiedWord/>
      <trackRevisions>false</trackRevisions>
    </reviewItem>
    <reviewItem>
      <errorID>fad45c03-1788-429f-9678-01819e58da56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CB4F22A</paraID>
      <start>94</start>
      <end>95</end>
      <status>unmodified</status>
      <modifiedWord/>
      <trackRevisions>false</trackRevisions>
    </reviewItem>
    <reviewItem>
      <errorID>385d4eca-f626-4778-88b6-82bc1cc0868e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60525918</paraID>
      <start>65</start>
      <end>66</end>
      <status>unmodified</status>
      <modifiedWord/>
      <trackRevisions>false</trackRevisions>
    </reviewItem>
    <reviewItem>
      <errorID>69bbcc08-1747-4c65-95a0-ef896276e5df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60525918</paraID>
      <start>110</start>
      <end>111</end>
      <status>unmodified</status>
      <modifiedWord/>
      <trackRevisions>false</trackRevisions>
    </reviewItem>
    <reviewItem>
      <errorID>f4d3e1f3-4c15-4557-8f2b-f7ef1a85e925</errorID>
      <errorWord>~</errorWord>
      <group>L1_Format</group>
      <groupName>格式问题</groupName>
      <ability>L2_HalfPunc_CN</ability>
      <abilityName>全半角问题</abilityName>
      <candidateList>
        <item>～</item>
      </candidateList>
      <explain>文本全半角错误。</explain>
      <paraID>1EE965BC</paraID>
      <start>21</start>
      <end>22</end>
      <status>unmodified</status>
      <modifiedWord/>
      <trackRevisions>false</trackRevisions>
    </reviewItem>
    <reviewItem>
      <errorID>ed24bb1f-15bd-4db8-bc7c-4cf92dcb6ac4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1EE965BC</paraID>
      <start>78</start>
      <end>79</end>
      <status>unmodified</status>
      <modifiedWord/>
      <trackRevisions>false</trackRevisions>
    </reviewItem>
    <reviewItem>
      <errorID>77449387-7810-4757-8f21-3d1aad8a96a1</errorID>
      <errorWord>）</errorWord>
      <group>L1_Format</group>
      <groupName>格式问题</groupName>
      <ability>L2_HalfPunc_CN</ability>
      <abilityName>全半角问题</abilityName>
      <candidateList>
        <item>)</item>
      </candidateList>
      <explain>文本全半角错误。</explain>
      <paraID>653D5A47</paraID>
      <start>85</start>
      <end>86</end>
      <status>unmodified</status>
      <modifiedWord/>
      <trackRevisions>false</trackRevisions>
    </reviewItem>
    <reviewItem>
      <errorID>b0ea3fcb-4234-402e-abb0-c8bd413014bb</errorID>
      <errorWord>,</errorWord>
      <group>L1_Format</group>
      <groupName>格式问题</groupName>
      <ability>L2_HalfPunc_CN</ability>
      <abilityName>全半角问题</abilityName>
      <candidateList>
        <item>，</item>
      </candidateList>
      <explain>文本全半角错误。</explain>
      <paraID>5998AC0C</paraID>
      <start>100</start>
      <end>101</end>
      <status>unmodified</status>
      <modifiedWord/>
      <trackRevisions>false</trackRevisions>
    </reviewItem>
    <reviewItem>
      <errorID>a35a6f18-f19e-4301-9209-c2a170ce6e87</errorID>
      <errorWord>繁琐</errorWord>
      <group>L1_Word</group>
      <groupName>字词问题</groupName>
      <ability>L2_Alias</ability>
      <abilityName>也作/曾用词</abilityName>
      <candidateList>
        <item>烦琐</item>
      </candidateList>
      <explain>词汇[繁琐]为不规范表述或旧称，其规范书面表述为[烦琐]。</explain>
      <paraID>3080936F</paraID>
      <start>105</start>
      <end>107</end>
      <status>unmodified</status>
      <modifiedWord/>
      <trackRevisions>false</trackRevisions>
    </reviewItem>
    <reviewItem>
      <errorID>fb3b9a88-05a9-47da-a295-c3ca1b533860</errorID>
      <errorWord>，</errorWord>
      <group>L1_Word</group>
      <groupName>字词问题</groupName>
      <ability>L2_Typo</ability>
      <abilityName>字词错误</abilityName>
      <candidateList>
        <item>，让</item>
      </candidateList>
      <explain/>
      <paraID>2CB8F492</paraID>
      <start>72</start>
      <end>73</end>
      <status>unmodified</status>
      <modifiedWord/>
      <trackRevisions>false</trackRevisions>
    </reviewItem>
    <reviewItem>
      <errorID>8e8cdebb-67d5-4e17-887d-8e34447845af</errorID>
      <errorWord>其它</errorWord>
      <group>L1_Word</group>
      <groupName>字词问题</groupName>
      <ability>L2_Alias</ability>
      <abilityName>也作/曾用词</abilityName>
      <candidateList>
        <item>其他</item>
      </candidateList>
      <explain>词汇[其它]为不规范表述或旧称，其规范书面表述为[其他]。</explain>
      <paraID>12A4129C</paraID>
      <start>11</start>
      <end>13</end>
      <status>unmodified</status>
      <modifiedWord/>
      <trackRevisions>false</trackRevisions>
    </reviewItem>
    <reviewItem>
      <errorID>1bf66d03-e1b7-49c2-9409-c81f8f5fd343</errorID>
      <errorWord>成</errorWord>
      <group>L1_Word</group>
      <groupName>字词问题</groupName>
      <ability>L2_Typo</ability>
      <abilityName>字词错误</abilityName>
      <candidateList>
        <item>成后</item>
      </candidateList>
      <explain/>
      <paraID>58F26F53</paraID>
      <start>36</start>
      <end>37</end>
      <status>unmodified</status>
      <modifiedWord/>
      <trackRevisions>false</trackRevisions>
    </reviewItem>
    <reviewItem>
      <errorID>a7f99bac-81b0-4010-b394-345f74c3b9be</errorID>
      <errorWord>插入到</errorWord>
      <group>L1_Word</group>
      <groupName>字词问题</groupName>
      <ability>L2_Typo</ability>
      <abilityName>字词错误</abilityName>
      <candidateList>
        <item>插入</item>
      </candidateList>
      <explain/>
      <paraID>7EE86518</paraID>
      <start>32</start>
      <end>35</end>
      <status>unmodified</status>
      <modifiedWord/>
      <trackRevisions>false</trackRevisions>
    </reviewItem>
    <reviewItem>
      <errorID>95177e46-217d-4b12-aa56-199ecd1002b9</errorID>
      <errorWord>完型填空</errorWord>
      <group>L1_Word</group>
      <groupName>字词问题</groupName>
      <ability>L2_Typo</ability>
      <abilityName>字词错误</abilityName>
      <candidateList>
        <item>完形填空</item>
      </candidateList>
      <explain>存在发音相同字词的误用。</explain>
      <paraID>76F7FC00</paraID>
      <start>30</start>
      <end>34</end>
      <status>unmodified</status>
      <modifiedWord/>
      <trackRevisions>false</trackRevisions>
    </reviewItem>
    <reviewItem>
      <errorID>60484632-859b-4ab1-8cf1-d093b4238cd6</errorID>
      <errorWord>度</errorWord>
      <group>L1_Word</group>
      <groupName>字词问题</groupName>
      <ability>L2_Typo</ability>
      <abilityName>字词错误</abilityName>
      <candidateList>
        <item>度和</item>
      </candidateList>
      <explain/>
      <paraID>70E8105F</paraID>
      <start>28</start>
      <end>29</end>
      <status>unmodified</status>
      <modifiedWord/>
      <trackRevisions>false</trackRevisions>
    </reviewItem>
    <reviewItem>
      <errorID>e9502714-c62b-4953-a589-d43e92f7541d</errorID>
      <errorWord>需</errorWord>
      <group>L1_Word</group>
      <groupName>字词问题</groupName>
      <ability>L2_Typo</ability>
      <abilityName>字词错误</abilityName>
      <candidateList>
        <item>须</item>
      </candidateList>
      <explain>存在发音相同字词的误用。</explain>
      <paraID>1FDD00BC</paraID>
      <start>3</start>
      <end>4</end>
      <status>unmodified</status>
      <modifiedWord/>
      <trackRevisions>false</trackRevisions>
    </reviewItem>
    <reviewItem>
      <errorID>f883e19f-9296-4f2f-aa2f-6770733ace80</errorID>
      <errorWord>（</errorWord>
      <group>L1_Word</group>
      <groupName>字词问题</groupName>
      <ability>L2_Typo</ability>
      <abilityName>字词错误</abilityName>
      <candidateList>
        <item>（以</item>
      </candidateList>
      <explain/>
      <paraID>3CD7D5AE</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c91e54ba-7c8e-49ba-877c-a2bf1b386a1e}">
  <ds:schemaRefs/>
</ds:datastoreItem>
</file>

<file path=docProps/app.xml><?xml version="1.0" encoding="utf-8"?>
<Properties xmlns="http://schemas.openxmlformats.org/officeDocument/2006/extended-properties" xmlns:vt="http://schemas.openxmlformats.org/officeDocument/2006/docPropsVTypes">
  <Template>Normal</Template>
  <Pages>27</Pages>
  <Words>16059</Words>
  <Characters>16672</Characters>
  <Lines>30</Lines>
  <Paragraphs>8</Paragraphs>
  <TotalTime>7</TotalTime>
  <ScaleCrop>false</ScaleCrop>
  <LinksUpToDate>false</LinksUpToDate>
  <CharactersWithSpaces>16681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2026-08-23T14:49:00Z</dcterms:created>
  <dc:creator>53001</dc:creator>
  <cp:lastModifiedBy>阳光</cp:lastModifiedBy>
  <dcterms:modified xsi:type="dcterms:W3CDTF">2026-09-07T02:12:31Z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693601325985401392A498058CF766E9_13</vt:lpwstr>
  </property>
  <property fmtid="{D5CDD505-2E9C-101B-9397-08002B2CF9AE}" pid="4" name="KSOTemplateDocerSaveRecord">
    <vt:lpwstr>eyJoZGlkIjoiZDk4N2ViMWNjNGIxMTg2N2Q3ZjMwMGFhNWNiYTJkZDkiLCJ1c2VySWQiOiIyMzg4Mzk2MDgifQ==</vt:lpwstr>
  </property>
</Properties>
</file>